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61" w:rsidRPr="00C066CE" w:rsidRDefault="00376798" w:rsidP="0005716C">
      <w:pPr>
        <w:spacing w:after="0" w:line="240" w:lineRule="auto"/>
        <w:ind w:left="-142" w:right="-1000"/>
        <w:rPr>
          <w:rFonts w:ascii="Soberana Sans" w:hAnsi="Soberana Sans" w:cs="Arial"/>
          <w:lang w:val="es-ES"/>
        </w:rPr>
      </w:pPr>
      <w:r w:rsidRPr="00C066CE">
        <w:rPr>
          <w:rFonts w:ascii="Soberana Sans" w:hAnsi="Soberana Sans" w:cs="Arial"/>
          <w:lang w:val="es-ES"/>
        </w:rPr>
        <w:t xml:space="preserve">Boletín núm. </w:t>
      </w:r>
      <w:r w:rsidR="00D52514">
        <w:rPr>
          <w:rFonts w:ascii="Soberana Sans" w:hAnsi="Soberana Sans" w:cs="Arial"/>
          <w:lang w:val="es-ES"/>
        </w:rPr>
        <w:t>P073</w:t>
      </w:r>
      <w:bookmarkStart w:id="0" w:name="_GoBack"/>
      <w:bookmarkEnd w:id="0"/>
    </w:p>
    <w:p w:rsidR="00261CAE" w:rsidRPr="00C066CE" w:rsidRDefault="00261CAE" w:rsidP="0005716C">
      <w:pPr>
        <w:spacing w:after="0" w:line="240" w:lineRule="auto"/>
        <w:ind w:left="-142" w:right="-1000"/>
        <w:rPr>
          <w:rFonts w:ascii="Soberana Sans" w:hAnsi="Soberana Sans" w:cs="Arial"/>
          <w:lang w:val="es-ES"/>
        </w:rPr>
      </w:pPr>
    </w:p>
    <w:p w:rsidR="00775561" w:rsidRPr="00C066CE" w:rsidRDefault="006374AA" w:rsidP="00C066CE">
      <w:pPr>
        <w:spacing w:after="0" w:line="240" w:lineRule="auto"/>
        <w:ind w:left="-851" w:right="-7"/>
        <w:jc w:val="right"/>
        <w:rPr>
          <w:rFonts w:ascii="Soberana Sans" w:hAnsi="Soberana Sans" w:cs="Arial"/>
        </w:rPr>
      </w:pPr>
      <w:r w:rsidRPr="00C066CE">
        <w:rPr>
          <w:rFonts w:ascii="Soberana Sans" w:hAnsi="Soberana Sans" w:cs="Arial"/>
        </w:rPr>
        <w:t xml:space="preserve">Ciudad de México, </w:t>
      </w:r>
      <w:r w:rsidR="00295E81">
        <w:rPr>
          <w:rFonts w:ascii="Soberana Sans" w:hAnsi="Soberana Sans" w:cs="Arial"/>
        </w:rPr>
        <w:t>29</w:t>
      </w:r>
      <w:r w:rsidR="0021721A" w:rsidRPr="00C066CE">
        <w:rPr>
          <w:rFonts w:ascii="Soberana Sans" w:hAnsi="Soberana Sans" w:cs="Arial"/>
        </w:rPr>
        <w:t xml:space="preserve"> de </w:t>
      </w:r>
      <w:r w:rsidR="0005716C" w:rsidRPr="00C066CE">
        <w:rPr>
          <w:rFonts w:ascii="Soberana Sans" w:hAnsi="Soberana Sans" w:cs="Arial"/>
        </w:rPr>
        <w:t>Dici</w:t>
      </w:r>
      <w:r w:rsidR="00DC2F7B" w:rsidRPr="00C066CE">
        <w:rPr>
          <w:rFonts w:ascii="Soberana Sans" w:hAnsi="Soberana Sans" w:cs="Arial"/>
        </w:rPr>
        <w:t>embre</w:t>
      </w:r>
      <w:r w:rsidR="004333F3" w:rsidRPr="00C066CE">
        <w:rPr>
          <w:rFonts w:ascii="Soberana Sans" w:hAnsi="Soberana Sans" w:cs="Arial"/>
        </w:rPr>
        <w:t xml:space="preserve"> </w:t>
      </w:r>
      <w:r w:rsidR="001F7401" w:rsidRPr="00C066CE">
        <w:rPr>
          <w:rFonts w:ascii="Soberana Sans" w:hAnsi="Soberana Sans" w:cs="Arial"/>
        </w:rPr>
        <w:t>de 2017</w:t>
      </w:r>
    </w:p>
    <w:p w:rsidR="00775561" w:rsidRPr="00C066CE" w:rsidRDefault="00775561" w:rsidP="00C066CE">
      <w:pPr>
        <w:spacing w:after="0" w:line="240" w:lineRule="auto"/>
        <w:ind w:left="-851" w:right="-7"/>
        <w:jc w:val="right"/>
        <w:rPr>
          <w:rFonts w:ascii="Soberana Sans" w:hAnsi="Soberana Sans" w:cs="Arial"/>
        </w:rPr>
      </w:pPr>
    </w:p>
    <w:p w:rsidR="00261CAE" w:rsidRPr="00C066CE" w:rsidRDefault="00261CAE" w:rsidP="00C066CE">
      <w:pPr>
        <w:spacing w:after="0" w:line="240" w:lineRule="auto"/>
        <w:ind w:left="-851" w:right="-7"/>
        <w:jc w:val="right"/>
        <w:rPr>
          <w:rFonts w:ascii="Soberana Sans" w:hAnsi="Soberana Sans" w:cs="Arial"/>
        </w:rPr>
      </w:pPr>
    </w:p>
    <w:p w:rsidR="00DC2F7B" w:rsidRPr="00C066CE" w:rsidRDefault="0005716C" w:rsidP="00C066CE">
      <w:pPr>
        <w:spacing w:after="0" w:line="240" w:lineRule="auto"/>
        <w:jc w:val="right"/>
        <w:rPr>
          <w:rFonts w:ascii="Soberana Sans" w:hAnsi="Soberana Sans"/>
          <w:b/>
        </w:rPr>
      </w:pPr>
      <w:r w:rsidRPr="00C066CE">
        <w:rPr>
          <w:rFonts w:ascii="Soberana Sans" w:hAnsi="Soberana Sans"/>
          <w:b/>
        </w:rPr>
        <w:t>APROVECHAMIENTO Y CONTRAPRESTACIÓN, PREVALIDADORES</w:t>
      </w:r>
    </w:p>
    <w:p w:rsidR="00DC2F7B" w:rsidRPr="00C066CE" w:rsidRDefault="00DC2F7B" w:rsidP="00C066CE">
      <w:pPr>
        <w:spacing w:after="0" w:line="240" w:lineRule="auto"/>
        <w:jc w:val="center"/>
        <w:rPr>
          <w:rFonts w:ascii="Soberana Sans" w:hAnsi="Soberana Sans"/>
        </w:rPr>
      </w:pPr>
    </w:p>
    <w:p w:rsidR="00261CAE" w:rsidRPr="00C066CE" w:rsidRDefault="00611EF9" w:rsidP="00C066CE">
      <w:pPr>
        <w:spacing w:after="0" w:line="240" w:lineRule="auto"/>
        <w:jc w:val="both"/>
        <w:rPr>
          <w:rFonts w:ascii="Soberana Sans" w:hAnsi="Soberana Sans"/>
        </w:rPr>
      </w:pPr>
      <w:r w:rsidRPr="00C066CE">
        <w:rPr>
          <w:rFonts w:ascii="Soberana Sans" w:hAnsi="Soberana Sans"/>
        </w:rPr>
        <w:t xml:space="preserve">En relación con las </w:t>
      </w:r>
      <w:r w:rsidRPr="00C066CE">
        <w:rPr>
          <w:rFonts w:ascii="Soberana Sans" w:hAnsi="Soberana Sans"/>
          <w:i/>
        </w:rPr>
        <w:t>“Multas y cantidades actualizadas que establece la Ley Aduanera y su Reglamento, vigentes a partir del 1 de enero de 2018”</w:t>
      </w:r>
      <w:r w:rsidRPr="00C066CE">
        <w:rPr>
          <w:rFonts w:ascii="Soberana Sans" w:hAnsi="Soberana Sans"/>
        </w:rPr>
        <w:t xml:space="preserve">, dadas a conocer mediante el </w:t>
      </w:r>
      <w:r w:rsidRPr="00C066CE">
        <w:rPr>
          <w:rFonts w:ascii="Soberana Sans" w:hAnsi="Soberana Sans"/>
          <w:i/>
        </w:rPr>
        <w:t>“ANEXO 2 de las Reglas Generales de Comercio Exterior para 2018, publicadas el 18 de diciembre de 2017”</w:t>
      </w:r>
      <w:r w:rsidR="00C066CE" w:rsidRPr="00C066CE">
        <w:rPr>
          <w:rFonts w:ascii="Soberana Sans" w:hAnsi="Soberana Sans"/>
        </w:rPr>
        <w:t xml:space="preserve"> (</w:t>
      </w:r>
      <w:r w:rsidR="00C066CE" w:rsidRPr="00C066CE">
        <w:rPr>
          <w:rFonts w:ascii="Soberana Sans" w:hAnsi="Soberana Sans"/>
          <w:b/>
        </w:rPr>
        <w:t>Anexo 2</w:t>
      </w:r>
      <w:r w:rsidR="00C066CE" w:rsidRPr="00C066CE">
        <w:rPr>
          <w:rFonts w:ascii="Soberana Sans" w:hAnsi="Soberana Sans"/>
        </w:rPr>
        <w:t>)</w:t>
      </w:r>
      <w:r w:rsidRPr="00C066CE">
        <w:rPr>
          <w:rFonts w:ascii="Soberana Sans" w:hAnsi="Soberana Sans"/>
        </w:rPr>
        <w:t>, publicado en el Diario Oficial de la Federaci</w:t>
      </w:r>
      <w:r w:rsidR="00C066CE">
        <w:rPr>
          <w:rFonts w:ascii="Soberana Sans" w:hAnsi="Soberana Sans"/>
        </w:rPr>
        <w:t>ón</w:t>
      </w:r>
      <w:r w:rsidRPr="00C066CE">
        <w:rPr>
          <w:rFonts w:ascii="Soberana Sans" w:hAnsi="Soberana Sans"/>
        </w:rPr>
        <w:t xml:space="preserve"> el pasado viernes 22 de diciembre de 2017, </w:t>
      </w:r>
      <w:r w:rsidR="00413824">
        <w:rPr>
          <w:rFonts w:ascii="Soberana Sans" w:hAnsi="Soberana Sans"/>
        </w:rPr>
        <w:t xml:space="preserve">en el cual, </w:t>
      </w:r>
      <w:r w:rsidRPr="00C066CE">
        <w:rPr>
          <w:rFonts w:ascii="Soberana Sans" w:hAnsi="Soberana Sans"/>
        </w:rPr>
        <w:t>para efectos del artíc</w:t>
      </w:r>
      <w:r w:rsidR="00C066CE">
        <w:rPr>
          <w:rFonts w:ascii="Soberana Sans" w:hAnsi="Soberana Sans"/>
        </w:rPr>
        <w:t>ulo 16-A de la Ley Aduanera,</w:t>
      </w:r>
      <w:r w:rsidRPr="00C066CE">
        <w:rPr>
          <w:rFonts w:ascii="Soberana Sans" w:hAnsi="Soberana Sans"/>
        </w:rPr>
        <w:t xml:space="preserve"> </w:t>
      </w:r>
      <w:r w:rsidR="00413824">
        <w:rPr>
          <w:rFonts w:ascii="Soberana Sans" w:hAnsi="Soberana Sans"/>
        </w:rPr>
        <w:t xml:space="preserve">se </w:t>
      </w:r>
      <w:r w:rsidR="00D04A18">
        <w:rPr>
          <w:rFonts w:ascii="Soberana Sans" w:hAnsi="Soberana Sans"/>
        </w:rPr>
        <w:t>dispone</w:t>
      </w:r>
      <w:r w:rsidRPr="00C066CE">
        <w:rPr>
          <w:rFonts w:ascii="Soberana Sans" w:hAnsi="Soberana Sans"/>
        </w:rPr>
        <w:t>:</w:t>
      </w:r>
    </w:p>
    <w:p w:rsidR="00611EF9" w:rsidRPr="00D04A18" w:rsidRDefault="00611EF9" w:rsidP="00C066CE">
      <w:pPr>
        <w:spacing w:after="0" w:line="240" w:lineRule="auto"/>
        <w:jc w:val="both"/>
        <w:rPr>
          <w:rFonts w:ascii="Soberana Sans" w:hAnsi="Soberana Sans"/>
          <w:sz w:val="20"/>
          <w:szCs w:val="20"/>
        </w:rPr>
      </w:pPr>
    </w:p>
    <w:p w:rsidR="00611EF9" w:rsidRPr="00C066CE" w:rsidRDefault="00C066CE" w:rsidP="00C066CE">
      <w:pPr>
        <w:pStyle w:val="Texto"/>
        <w:tabs>
          <w:tab w:val="left" w:leader="dot" w:pos="8820"/>
        </w:tabs>
        <w:spacing w:after="0" w:line="240" w:lineRule="auto"/>
        <w:ind w:left="284"/>
        <w:rPr>
          <w:rFonts w:ascii="Soberana Sans" w:hAnsi="Soberana Sans"/>
          <w:sz w:val="20"/>
          <w:szCs w:val="20"/>
          <w:lang w:val="es-MX"/>
        </w:rPr>
      </w:pPr>
      <w:r w:rsidRPr="00C066CE">
        <w:rPr>
          <w:rFonts w:ascii="Soberana Sans" w:hAnsi="Soberana Sans"/>
          <w:b/>
          <w:sz w:val="20"/>
          <w:szCs w:val="20"/>
        </w:rPr>
        <w:t>“</w:t>
      </w:r>
      <w:r w:rsidR="00611EF9" w:rsidRPr="00C066CE">
        <w:rPr>
          <w:rFonts w:ascii="Soberana Sans" w:hAnsi="Soberana Sans"/>
          <w:b/>
          <w:sz w:val="20"/>
          <w:szCs w:val="20"/>
        </w:rPr>
        <w:t>ARTICULO 16-A.</w:t>
      </w:r>
      <w:r w:rsidR="00611EF9" w:rsidRPr="00C066CE">
        <w:rPr>
          <w:rFonts w:ascii="Soberana Sans" w:hAnsi="Soberana Sans"/>
          <w:sz w:val="20"/>
          <w:szCs w:val="20"/>
        </w:rPr>
        <w:t xml:space="preserve"> </w:t>
      </w:r>
      <w:r w:rsidR="00611EF9" w:rsidRPr="00C066CE">
        <w:rPr>
          <w:rFonts w:ascii="Soberana Sans" w:hAnsi="Soberana Sans"/>
          <w:sz w:val="20"/>
          <w:szCs w:val="20"/>
        </w:rPr>
        <w:tab/>
      </w:r>
    </w:p>
    <w:p w:rsidR="00611EF9" w:rsidRPr="00C066CE" w:rsidRDefault="00611EF9" w:rsidP="00C066CE">
      <w:pPr>
        <w:spacing w:after="0" w:line="240" w:lineRule="auto"/>
        <w:ind w:left="284"/>
        <w:jc w:val="both"/>
        <w:rPr>
          <w:rFonts w:ascii="Soberana Sans" w:hAnsi="Soberana Sans"/>
          <w:sz w:val="20"/>
          <w:szCs w:val="20"/>
        </w:rPr>
      </w:pPr>
      <w:r w:rsidRPr="00C066CE">
        <w:rPr>
          <w:rFonts w:ascii="Soberana Sans" w:hAnsi="Soberana Sans"/>
          <w:sz w:val="20"/>
          <w:szCs w:val="20"/>
        </w:rPr>
        <w:t xml:space="preserve">Las personas que obtengan la autorización en los términos de este artículo, estarán obligadas a pagar en las oficinas autorizadas, mensualmente, en los primeros doce días del mes siguiente a aquél al que corresponda el pago, un aprovechamiento de </w:t>
      </w:r>
      <w:r w:rsidRPr="00C066CE">
        <w:rPr>
          <w:rFonts w:ascii="Soberana Sans" w:hAnsi="Soberana Sans"/>
          <w:b/>
          <w:sz w:val="20"/>
          <w:szCs w:val="20"/>
        </w:rPr>
        <w:t>$240.00</w:t>
      </w:r>
      <w:r w:rsidRPr="00C066CE">
        <w:rPr>
          <w:rFonts w:ascii="Soberana Sans" w:hAnsi="Soberana Sans"/>
          <w:sz w:val="20"/>
          <w:szCs w:val="20"/>
        </w:rPr>
        <w:t xml:space="preserve"> por cada pedimento que prevaliden y que posteriormente sea presentado ante la autoridad aduanera para su despacho. Dicho aprovechamiento será aportado a un fideicomiso público para el programa de mejoramiento de los medios de informática y de control de las autoridades aduaneras.</w:t>
      </w:r>
    </w:p>
    <w:p w:rsidR="00611EF9" w:rsidRPr="00C066CE" w:rsidRDefault="00611EF9" w:rsidP="00C066CE">
      <w:pPr>
        <w:spacing w:after="0" w:line="240" w:lineRule="auto"/>
        <w:jc w:val="both"/>
        <w:rPr>
          <w:rFonts w:ascii="Soberana Sans" w:hAnsi="Soberana Sans"/>
        </w:rPr>
      </w:pPr>
    </w:p>
    <w:p w:rsidR="00611EF9" w:rsidRDefault="00C066CE" w:rsidP="00C066CE">
      <w:pPr>
        <w:spacing w:after="0" w:line="240" w:lineRule="auto"/>
        <w:jc w:val="both"/>
        <w:rPr>
          <w:rFonts w:ascii="Soberana Sans" w:hAnsi="Soberana Sans"/>
        </w:rPr>
      </w:pPr>
      <w:r>
        <w:rPr>
          <w:rFonts w:ascii="Soberana Sans" w:hAnsi="Soberana Sans"/>
        </w:rPr>
        <w:t>Al respecto, s</w:t>
      </w:r>
      <w:r w:rsidR="00611EF9" w:rsidRPr="00C066CE">
        <w:rPr>
          <w:rFonts w:ascii="Soberana Sans" w:hAnsi="Soberana Sans"/>
        </w:rPr>
        <w:t xml:space="preserve">e realizan las siguientes </w:t>
      </w:r>
      <w:r w:rsidR="000E1536">
        <w:rPr>
          <w:rFonts w:ascii="Soberana Sans" w:hAnsi="Soberana Sans"/>
        </w:rPr>
        <w:t>consideraciones</w:t>
      </w:r>
      <w:r w:rsidR="00611EF9" w:rsidRPr="00C066CE">
        <w:rPr>
          <w:rFonts w:ascii="Soberana Sans" w:hAnsi="Soberana Sans"/>
        </w:rPr>
        <w:t>:</w:t>
      </w:r>
    </w:p>
    <w:p w:rsidR="00C066CE" w:rsidRPr="00C066CE" w:rsidRDefault="00C066CE" w:rsidP="00C066CE">
      <w:pPr>
        <w:spacing w:after="0" w:line="240" w:lineRule="auto"/>
        <w:jc w:val="both"/>
        <w:rPr>
          <w:rFonts w:ascii="Soberana Sans" w:hAnsi="Soberana Sans"/>
        </w:rPr>
      </w:pPr>
    </w:p>
    <w:p w:rsidR="0005716C" w:rsidRDefault="0005716C" w:rsidP="00C066CE">
      <w:pPr>
        <w:spacing w:after="0" w:line="240" w:lineRule="auto"/>
        <w:jc w:val="both"/>
        <w:rPr>
          <w:rFonts w:ascii="Soberana Sans" w:hAnsi="Soberana Sans"/>
        </w:rPr>
      </w:pPr>
      <w:r w:rsidRPr="00C066CE">
        <w:rPr>
          <w:rFonts w:ascii="Soberana Sans" w:hAnsi="Soberana Sans"/>
        </w:rPr>
        <w:t>El artículo 5o. de la Ley Aduanera, establece a la letra lo siguiente:</w:t>
      </w:r>
    </w:p>
    <w:p w:rsidR="00D04A18" w:rsidRPr="00D04A18" w:rsidRDefault="00D04A18" w:rsidP="00C066CE">
      <w:pPr>
        <w:spacing w:after="0" w:line="240" w:lineRule="auto"/>
        <w:jc w:val="both"/>
        <w:rPr>
          <w:rFonts w:ascii="Soberana Sans" w:hAnsi="Soberana Sans"/>
          <w:sz w:val="20"/>
          <w:szCs w:val="20"/>
        </w:rPr>
      </w:pPr>
    </w:p>
    <w:p w:rsidR="0005716C" w:rsidRPr="00D04A18" w:rsidRDefault="00D04A18" w:rsidP="00D04A18">
      <w:pPr>
        <w:pStyle w:val="texto0"/>
        <w:spacing w:after="0" w:line="240" w:lineRule="auto"/>
        <w:ind w:left="284"/>
        <w:rPr>
          <w:rFonts w:ascii="Soberana Sans" w:hAnsi="Soberana Sans"/>
          <w:b/>
          <w:sz w:val="20"/>
          <w:lang w:val="es-MX"/>
        </w:rPr>
      </w:pPr>
      <w:r>
        <w:rPr>
          <w:rFonts w:ascii="Soberana Sans" w:hAnsi="Soberana Sans"/>
          <w:b/>
          <w:sz w:val="20"/>
          <w:lang w:val="es-MX"/>
        </w:rPr>
        <w:t>“</w:t>
      </w:r>
      <w:r w:rsidR="0005716C" w:rsidRPr="00D04A18">
        <w:rPr>
          <w:rFonts w:ascii="Soberana Sans" w:hAnsi="Soberana Sans"/>
          <w:b/>
          <w:sz w:val="20"/>
          <w:lang w:val="es-MX"/>
        </w:rPr>
        <w:t xml:space="preserve">ARTICULO 5o. </w:t>
      </w:r>
      <w:r w:rsidR="0005716C" w:rsidRPr="00D04A18">
        <w:rPr>
          <w:rFonts w:ascii="Soberana Sans" w:hAnsi="Soberana Sans"/>
          <w:sz w:val="20"/>
          <w:lang w:val="es-MX"/>
        </w:rPr>
        <w:t>El monto de las multas y cantidades en moneda nacional establecidas en esta Ley, se actualizará en los términos del artículo 70 del Código Fiscal de la Federación.</w:t>
      </w:r>
    </w:p>
    <w:p w:rsidR="0005716C" w:rsidRPr="00D04A18" w:rsidRDefault="0005716C" w:rsidP="00D04A18">
      <w:pPr>
        <w:pStyle w:val="texto0"/>
        <w:spacing w:after="0" w:line="240" w:lineRule="auto"/>
        <w:ind w:left="284"/>
        <w:rPr>
          <w:rFonts w:ascii="Soberana Sans" w:hAnsi="Soberana Sans"/>
          <w:b/>
          <w:sz w:val="20"/>
          <w:lang w:val="es-MX"/>
        </w:rPr>
      </w:pPr>
    </w:p>
    <w:p w:rsidR="0005716C" w:rsidRPr="00D04A18" w:rsidRDefault="0005716C" w:rsidP="00D04A18">
      <w:pPr>
        <w:pStyle w:val="Textosinformato"/>
        <w:ind w:left="284" w:firstLine="289"/>
        <w:jc w:val="both"/>
        <w:rPr>
          <w:rFonts w:ascii="Soberana Sans" w:hAnsi="Soberana Sans"/>
          <w:lang w:val="es-MX"/>
        </w:rPr>
      </w:pPr>
      <w:r w:rsidRPr="00D04A18">
        <w:rPr>
          <w:rFonts w:ascii="Soberana Sans" w:hAnsi="Soberana Sans"/>
          <w:lang w:val="es-MX"/>
        </w:rPr>
        <w:t>Cuando en esta Ley se señalen multas con base en el monto de las contribuciones omitidas, se considerarán las contribuciones actualizadas en los términos del artículo 17-A del Código Fiscal de la Federación.</w:t>
      </w:r>
      <w:r w:rsidR="00D04A18">
        <w:rPr>
          <w:rFonts w:ascii="Soberana Sans" w:hAnsi="Soberana Sans"/>
          <w:lang w:val="es-MX"/>
        </w:rPr>
        <w:t>”</w:t>
      </w:r>
    </w:p>
    <w:p w:rsidR="00D04A18" w:rsidRDefault="00D04A18" w:rsidP="00C066CE">
      <w:pPr>
        <w:pStyle w:val="Textosinformato"/>
        <w:jc w:val="both"/>
        <w:rPr>
          <w:rFonts w:ascii="Soberana Sans" w:hAnsi="Soberana Sans"/>
          <w:sz w:val="22"/>
          <w:szCs w:val="22"/>
          <w:lang w:val="es-MX"/>
        </w:rPr>
      </w:pPr>
    </w:p>
    <w:p w:rsidR="0005716C" w:rsidRPr="00D04A18" w:rsidRDefault="006A54E0" w:rsidP="00C066CE">
      <w:pPr>
        <w:pStyle w:val="Textosinformato"/>
        <w:jc w:val="both"/>
        <w:rPr>
          <w:rFonts w:ascii="Soberana Sans" w:eastAsia="MS Mincho" w:hAnsi="Soberana Sans" w:cs="Arial"/>
          <w:bCs/>
          <w:sz w:val="22"/>
          <w:szCs w:val="22"/>
        </w:rPr>
      </w:pPr>
      <w:r w:rsidRPr="00C066CE">
        <w:rPr>
          <w:rFonts w:ascii="Soberana Sans" w:hAnsi="Soberana Sans"/>
          <w:sz w:val="22"/>
          <w:szCs w:val="22"/>
          <w:lang w:val="es-MX"/>
        </w:rPr>
        <w:t>Por su parte</w:t>
      </w:r>
      <w:r w:rsidR="0005716C" w:rsidRPr="00C066CE">
        <w:rPr>
          <w:rFonts w:ascii="Soberana Sans" w:hAnsi="Soberana Sans"/>
          <w:sz w:val="22"/>
          <w:szCs w:val="22"/>
          <w:lang w:val="es-MX"/>
        </w:rPr>
        <w:t>, el artículo 70 del Código Fiscal de la Federación</w:t>
      </w:r>
      <w:r w:rsidR="00D04A18">
        <w:rPr>
          <w:rFonts w:ascii="Soberana Sans" w:hAnsi="Soberana Sans"/>
          <w:sz w:val="22"/>
          <w:szCs w:val="22"/>
          <w:lang w:val="es-MX"/>
        </w:rPr>
        <w:t xml:space="preserve"> (CFF)</w:t>
      </w:r>
      <w:r w:rsidR="0005716C" w:rsidRPr="00D04A18">
        <w:rPr>
          <w:rFonts w:ascii="Soberana Sans" w:eastAsia="MS Mincho" w:hAnsi="Soberana Sans" w:cs="Arial"/>
          <w:bCs/>
          <w:sz w:val="22"/>
          <w:szCs w:val="22"/>
        </w:rPr>
        <w:t>, en su último p</w:t>
      </w:r>
      <w:r w:rsidR="00D04A18">
        <w:rPr>
          <w:rFonts w:ascii="Soberana Sans" w:eastAsia="MS Mincho" w:hAnsi="Soberana Sans" w:cs="Arial"/>
          <w:bCs/>
          <w:sz w:val="22"/>
          <w:szCs w:val="22"/>
        </w:rPr>
        <w:t>árrafo</w:t>
      </w:r>
      <w:r w:rsidR="0005716C" w:rsidRPr="00D04A18">
        <w:rPr>
          <w:rFonts w:ascii="Soberana Sans" w:eastAsia="MS Mincho" w:hAnsi="Soberana Sans" w:cs="Arial"/>
          <w:bCs/>
          <w:sz w:val="22"/>
          <w:szCs w:val="22"/>
        </w:rPr>
        <w:t xml:space="preserve"> </w:t>
      </w:r>
      <w:r w:rsidR="00D04A18">
        <w:rPr>
          <w:rFonts w:ascii="Soberana Sans" w:eastAsia="MS Mincho" w:hAnsi="Soberana Sans" w:cs="Arial"/>
          <w:bCs/>
          <w:sz w:val="22"/>
          <w:szCs w:val="22"/>
        </w:rPr>
        <w:t>señala</w:t>
      </w:r>
      <w:r w:rsidR="0005716C" w:rsidRPr="00D04A18">
        <w:rPr>
          <w:rFonts w:ascii="Soberana Sans" w:eastAsia="MS Mincho" w:hAnsi="Soberana Sans" w:cs="Arial"/>
          <w:bCs/>
          <w:sz w:val="22"/>
          <w:szCs w:val="22"/>
        </w:rPr>
        <w:t>:</w:t>
      </w:r>
    </w:p>
    <w:p w:rsidR="0005716C" w:rsidRPr="00D04A18" w:rsidRDefault="0005716C" w:rsidP="00C066CE">
      <w:pPr>
        <w:pStyle w:val="Textosinformato"/>
        <w:jc w:val="both"/>
        <w:rPr>
          <w:rFonts w:ascii="Soberana Sans" w:eastAsia="MS Mincho" w:hAnsi="Soberana Sans" w:cs="Arial"/>
          <w:b/>
          <w:bCs/>
        </w:rPr>
      </w:pPr>
    </w:p>
    <w:p w:rsidR="0005716C" w:rsidRPr="00D04A18" w:rsidRDefault="0005716C" w:rsidP="00D04A18">
      <w:pPr>
        <w:pStyle w:val="Textosinformato"/>
        <w:ind w:left="284" w:firstLine="283"/>
        <w:jc w:val="both"/>
        <w:rPr>
          <w:rFonts w:ascii="Soberana Sans" w:eastAsia="MS Mincho" w:hAnsi="Soberana Sans" w:cs="Arial"/>
          <w:bCs/>
        </w:rPr>
      </w:pPr>
      <w:r w:rsidRPr="00D04A18">
        <w:rPr>
          <w:rFonts w:ascii="Soberana Sans" w:eastAsia="MS Mincho" w:hAnsi="Soberana Sans" w:cs="Arial"/>
          <w:b/>
          <w:bCs/>
        </w:rPr>
        <w:t>Artículo 70</w:t>
      </w:r>
      <w:r w:rsidRPr="00D04A18">
        <w:rPr>
          <w:rFonts w:ascii="Soberana Sans" w:eastAsia="MS Mincho" w:hAnsi="Soberana Sans" w:cs="Arial"/>
          <w:bCs/>
        </w:rPr>
        <w:t>.- …</w:t>
      </w:r>
    </w:p>
    <w:p w:rsidR="0005716C" w:rsidRPr="00D04A18" w:rsidRDefault="0005716C" w:rsidP="00D04A18">
      <w:pPr>
        <w:pStyle w:val="Textosinformato"/>
        <w:ind w:left="284" w:firstLine="283"/>
        <w:jc w:val="both"/>
        <w:rPr>
          <w:rFonts w:ascii="Soberana Sans" w:eastAsia="MS Mincho" w:hAnsi="Soberana Sans" w:cs="Arial"/>
        </w:rPr>
      </w:pPr>
      <w:r w:rsidRPr="00D04A18">
        <w:rPr>
          <w:rFonts w:ascii="Soberana Sans" w:eastAsia="MS Mincho" w:hAnsi="Soberana Sans" w:cs="Arial"/>
          <w:bCs/>
        </w:rPr>
        <w:t>…</w:t>
      </w:r>
    </w:p>
    <w:p w:rsidR="00DC2F7B" w:rsidRPr="00D04A18" w:rsidRDefault="0005716C" w:rsidP="00D04A18">
      <w:pPr>
        <w:autoSpaceDE w:val="0"/>
        <w:autoSpaceDN w:val="0"/>
        <w:adjustRightInd w:val="0"/>
        <w:spacing w:after="0" w:line="240" w:lineRule="auto"/>
        <w:ind w:left="284" w:firstLine="283"/>
        <w:jc w:val="both"/>
        <w:rPr>
          <w:rFonts w:ascii="Soberana Sans" w:hAnsi="Soberana Sans"/>
          <w:sz w:val="20"/>
          <w:szCs w:val="20"/>
        </w:rPr>
      </w:pPr>
      <w:r w:rsidRPr="00D04A18">
        <w:rPr>
          <w:rFonts w:ascii="Soberana Sans" w:hAnsi="Soberana Sans"/>
          <w:sz w:val="20"/>
          <w:szCs w:val="20"/>
        </w:rPr>
        <w:t>El monto de las multas y cantidades en moneda nacional establecidas en la Ley Aduanera se actualizarán conforme a las disposiciones establecidas en el artículo 17-A de este Código, relativas a la actualización de cantidades en moneda nacional que se establecen en este ordenamiento.</w:t>
      </w:r>
    </w:p>
    <w:p w:rsidR="006A54E0" w:rsidRPr="00C066CE" w:rsidRDefault="006A54E0" w:rsidP="00C066CE">
      <w:pPr>
        <w:autoSpaceDE w:val="0"/>
        <w:autoSpaceDN w:val="0"/>
        <w:adjustRightInd w:val="0"/>
        <w:spacing w:after="0" w:line="240" w:lineRule="auto"/>
        <w:jc w:val="both"/>
        <w:rPr>
          <w:rFonts w:ascii="Soberana Sans" w:eastAsia="MS Mincho" w:hAnsi="Soberana Sans" w:cs="Arial"/>
        </w:rPr>
      </w:pPr>
    </w:p>
    <w:p w:rsidR="006A54E0" w:rsidRDefault="006A54E0" w:rsidP="00C066CE">
      <w:pPr>
        <w:autoSpaceDE w:val="0"/>
        <w:autoSpaceDN w:val="0"/>
        <w:adjustRightInd w:val="0"/>
        <w:spacing w:after="0" w:line="240" w:lineRule="auto"/>
        <w:jc w:val="both"/>
        <w:rPr>
          <w:rFonts w:ascii="Soberana Sans" w:eastAsia="MS Mincho" w:hAnsi="Soberana Sans" w:cs="Arial"/>
          <w:bCs/>
        </w:rPr>
      </w:pPr>
      <w:r w:rsidRPr="00D04A18">
        <w:rPr>
          <w:rFonts w:ascii="Soberana Sans" w:eastAsia="MS Mincho" w:hAnsi="Soberana Sans" w:cs="Arial"/>
          <w:bCs/>
        </w:rPr>
        <w:lastRenderedPageBreak/>
        <w:t>Por lo anterior, la cantidad del aprovechamiento establecido en el penúltimo párrafo del artículo 16-A de la Ley Aduanera vigente, correspondiente a $210.00, fue actualizado en términos de las citadas dispos</w:t>
      </w:r>
      <w:r w:rsidR="00D04A18">
        <w:rPr>
          <w:rFonts w:ascii="Soberana Sans" w:eastAsia="MS Mincho" w:hAnsi="Soberana Sans" w:cs="Arial"/>
          <w:bCs/>
        </w:rPr>
        <w:t>iciones y el artículo 17-A del CFF:</w:t>
      </w:r>
    </w:p>
    <w:p w:rsidR="00D04A18" w:rsidRPr="00D04A18" w:rsidRDefault="00D04A18" w:rsidP="00C066CE">
      <w:pPr>
        <w:autoSpaceDE w:val="0"/>
        <w:autoSpaceDN w:val="0"/>
        <w:adjustRightInd w:val="0"/>
        <w:spacing w:after="0" w:line="240" w:lineRule="auto"/>
        <w:jc w:val="both"/>
        <w:rPr>
          <w:rFonts w:ascii="Soberana Sans" w:eastAsia="MS Mincho" w:hAnsi="Soberana Sans" w:cs="Arial"/>
          <w:bCs/>
          <w:sz w:val="20"/>
          <w:szCs w:val="20"/>
        </w:rPr>
      </w:pPr>
    </w:p>
    <w:p w:rsidR="00D04A18" w:rsidRDefault="00D04A18" w:rsidP="00D04A18">
      <w:pPr>
        <w:autoSpaceDE w:val="0"/>
        <w:autoSpaceDN w:val="0"/>
        <w:adjustRightInd w:val="0"/>
        <w:spacing w:after="0" w:line="240" w:lineRule="auto"/>
        <w:ind w:left="284" w:firstLine="283"/>
        <w:jc w:val="both"/>
        <w:rPr>
          <w:rFonts w:ascii="Soberana Sans" w:eastAsia="MS Mincho" w:hAnsi="Soberana Sans" w:cs="Arial"/>
          <w:sz w:val="20"/>
          <w:szCs w:val="20"/>
        </w:rPr>
      </w:pPr>
      <w:r>
        <w:rPr>
          <w:rFonts w:ascii="Soberana Sans" w:eastAsia="MS Mincho" w:hAnsi="Soberana Sans" w:cs="Arial"/>
          <w:b/>
          <w:bCs/>
          <w:sz w:val="20"/>
          <w:szCs w:val="20"/>
        </w:rPr>
        <w:t>“</w:t>
      </w:r>
      <w:r w:rsidRPr="00D04A18">
        <w:rPr>
          <w:rFonts w:ascii="Soberana Sans" w:eastAsia="MS Mincho" w:hAnsi="Soberana Sans" w:cs="Arial"/>
          <w:b/>
          <w:bCs/>
          <w:sz w:val="20"/>
          <w:szCs w:val="20"/>
        </w:rPr>
        <w:t>Artículo 17-A</w:t>
      </w:r>
      <w:r w:rsidRPr="00D04A18">
        <w:rPr>
          <w:rFonts w:ascii="Soberana Sans" w:eastAsia="MS Mincho" w:hAnsi="Soberana Sans" w:cs="Arial"/>
          <w:bCs/>
          <w:sz w:val="20"/>
          <w:szCs w:val="20"/>
        </w:rPr>
        <w:t xml:space="preserve">.- </w:t>
      </w:r>
      <w:r w:rsidRPr="00D04A18">
        <w:rPr>
          <w:rFonts w:ascii="Soberana Sans" w:eastAsia="MS Mincho" w:hAnsi="Soberana Sans" w:cs="Arial"/>
          <w:sz w:val="20"/>
          <w:szCs w:val="20"/>
        </w:rPr>
        <w:t>El monto de las contribuciones, aprovechamientos, así como de las devoluciones a cargo del fisco federal, se actualizará por el transcurso del tiempo y con motivo de los cambios de precios en el país, para lo cual se aplicará el factor de actualización a las cantidades que se deban actualizar. Dicho factor se obtendrá dividiendo el Indice Nacional de Precios al Consumidor del mes anterior al más reciente del periodo entre el citado índice correspondiente al mes anterior al más antiguo de dicho periodo. Las contribuciones, los aprovechamientos, así como las devoluciones a cargo del fisco federal, no se actualizarán por fracciones de mes.</w:t>
      </w:r>
    </w:p>
    <w:p w:rsidR="00D04A18" w:rsidRPr="00D04A18" w:rsidRDefault="00D04A18" w:rsidP="00D04A18">
      <w:pPr>
        <w:autoSpaceDE w:val="0"/>
        <w:autoSpaceDN w:val="0"/>
        <w:adjustRightInd w:val="0"/>
        <w:spacing w:after="0" w:line="240" w:lineRule="auto"/>
        <w:ind w:left="284" w:firstLine="283"/>
        <w:jc w:val="both"/>
        <w:rPr>
          <w:rFonts w:ascii="Soberana Sans" w:eastAsia="MS Mincho" w:hAnsi="Soberana Sans" w:cs="Arial"/>
          <w:sz w:val="20"/>
          <w:szCs w:val="20"/>
        </w:rPr>
      </w:pPr>
      <w:r>
        <w:rPr>
          <w:rFonts w:ascii="Soberana Sans" w:eastAsia="MS Mincho" w:hAnsi="Soberana Sans" w:cs="Arial"/>
          <w:sz w:val="20"/>
          <w:szCs w:val="20"/>
        </w:rPr>
        <w:t>…”</w:t>
      </w:r>
    </w:p>
    <w:p w:rsidR="006A54E0" w:rsidRPr="00295E81" w:rsidRDefault="006A54E0" w:rsidP="00C066CE">
      <w:pPr>
        <w:autoSpaceDE w:val="0"/>
        <w:autoSpaceDN w:val="0"/>
        <w:adjustRightInd w:val="0"/>
        <w:spacing w:after="0" w:line="240" w:lineRule="auto"/>
        <w:jc w:val="both"/>
        <w:rPr>
          <w:rFonts w:ascii="Soberana Sans" w:eastAsia="MS Mincho" w:hAnsi="Soberana Sans" w:cs="Arial"/>
          <w:bCs/>
        </w:rPr>
      </w:pPr>
    </w:p>
    <w:p w:rsidR="006C6C5C" w:rsidRPr="00295E81" w:rsidRDefault="006C6C5C" w:rsidP="00C066CE">
      <w:pPr>
        <w:autoSpaceDE w:val="0"/>
        <w:autoSpaceDN w:val="0"/>
        <w:adjustRightInd w:val="0"/>
        <w:spacing w:after="0" w:line="240" w:lineRule="auto"/>
        <w:jc w:val="both"/>
        <w:rPr>
          <w:rFonts w:ascii="Soberana Sans" w:eastAsia="MS Mincho" w:hAnsi="Soberana Sans" w:cs="Arial"/>
          <w:bCs/>
        </w:rPr>
      </w:pPr>
      <w:r w:rsidRPr="00295E81">
        <w:rPr>
          <w:rFonts w:ascii="Soberana Sans" w:eastAsia="MS Mincho" w:hAnsi="Soberana Sans" w:cs="Arial"/>
          <w:bCs/>
        </w:rPr>
        <w:t xml:space="preserve">Adicionalmente en relación con las disposiciones antes transcritas la regla 1.1.7., de las </w:t>
      </w:r>
      <w:r w:rsidR="003B7188">
        <w:rPr>
          <w:rFonts w:ascii="Soberana Sans" w:eastAsia="MS Mincho" w:hAnsi="Soberana Sans" w:cs="Arial"/>
          <w:bCs/>
        </w:rPr>
        <w:t>Regla Generales de Comercio Exterior (</w:t>
      </w:r>
      <w:r w:rsidRPr="00295E81">
        <w:rPr>
          <w:rFonts w:ascii="Soberana Sans" w:eastAsia="MS Mincho" w:hAnsi="Soberana Sans" w:cs="Arial"/>
          <w:bCs/>
        </w:rPr>
        <w:t>RGCE</w:t>
      </w:r>
      <w:r w:rsidR="003B7188">
        <w:rPr>
          <w:rFonts w:ascii="Soberana Sans" w:eastAsia="MS Mincho" w:hAnsi="Soberana Sans" w:cs="Arial"/>
          <w:bCs/>
        </w:rPr>
        <w:t>)</w:t>
      </w:r>
      <w:r w:rsidRPr="00295E81">
        <w:rPr>
          <w:rFonts w:ascii="Soberana Sans" w:eastAsia="MS Mincho" w:hAnsi="Soberana Sans" w:cs="Arial"/>
          <w:bCs/>
        </w:rPr>
        <w:t xml:space="preserve"> para 2018, dispone:</w:t>
      </w:r>
    </w:p>
    <w:p w:rsidR="006C6C5C" w:rsidRDefault="006C6C5C" w:rsidP="00C066CE">
      <w:pPr>
        <w:autoSpaceDE w:val="0"/>
        <w:autoSpaceDN w:val="0"/>
        <w:adjustRightInd w:val="0"/>
        <w:spacing w:after="0" w:line="240" w:lineRule="auto"/>
        <w:jc w:val="both"/>
        <w:rPr>
          <w:rFonts w:ascii="Soberana Sans" w:eastAsia="MS Mincho" w:hAnsi="Soberana Sans" w:cs="Arial"/>
          <w:b/>
          <w:bCs/>
          <w:color w:val="FF0000"/>
        </w:rPr>
      </w:pPr>
    </w:p>
    <w:p w:rsidR="00295E81" w:rsidRPr="00295E81" w:rsidRDefault="00295E81" w:rsidP="00295E81">
      <w:pPr>
        <w:autoSpaceDE w:val="0"/>
        <w:autoSpaceDN w:val="0"/>
        <w:adjustRightInd w:val="0"/>
        <w:spacing w:after="0" w:line="240" w:lineRule="auto"/>
        <w:ind w:left="851"/>
        <w:jc w:val="both"/>
        <w:rPr>
          <w:rFonts w:ascii="Soberana Sans" w:hAnsi="Soberana Sans"/>
          <w:b/>
          <w:sz w:val="20"/>
          <w:szCs w:val="20"/>
        </w:rPr>
      </w:pPr>
      <w:r w:rsidRPr="00295E81">
        <w:rPr>
          <w:rFonts w:ascii="Soberana Sans" w:hAnsi="Soberana Sans"/>
          <w:b/>
          <w:sz w:val="20"/>
          <w:szCs w:val="20"/>
        </w:rPr>
        <w:t>“Actualización de multas y cantidades que establece la Ley y su Reglamento (Anexo 2)</w:t>
      </w:r>
    </w:p>
    <w:p w:rsidR="006C6C5C" w:rsidRDefault="006C6C5C" w:rsidP="00295E81">
      <w:pPr>
        <w:autoSpaceDE w:val="0"/>
        <w:autoSpaceDN w:val="0"/>
        <w:adjustRightInd w:val="0"/>
        <w:spacing w:after="0" w:line="240" w:lineRule="auto"/>
        <w:ind w:left="851" w:hanging="709"/>
        <w:jc w:val="both"/>
        <w:rPr>
          <w:rFonts w:ascii="Soberana Sans" w:eastAsia="MS Mincho" w:hAnsi="Soberana Sans" w:cs="Arial"/>
          <w:sz w:val="20"/>
          <w:szCs w:val="20"/>
        </w:rPr>
      </w:pPr>
      <w:r w:rsidRPr="00295E81">
        <w:rPr>
          <w:rFonts w:ascii="Soberana Sans" w:hAnsi="Soberana Sans"/>
          <w:b/>
          <w:sz w:val="20"/>
          <w:szCs w:val="20"/>
        </w:rPr>
        <w:t>1.1.7.</w:t>
      </w:r>
      <w:r w:rsidRPr="00295E81">
        <w:rPr>
          <w:rFonts w:ascii="Soberana Sans" w:eastAsia="MS Mincho" w:hAnsi="Soberana Sans" w:cs="Arial"/>
          <w:sz w:val="20"/>
          <w:szCs w:val="20"/>
        </w:rPr>
        <w:t xml:space="preserve"> De conformidad con los artículos 5o., primer párrafo, de la Ley y 2 de su Reglamento, las multas y cantidades en moneda nacional establecidas en la Ley y su Reglamento, que han sido actualizadas, son las que se señalan en el Anexo 2.</w:t>
      </w:r>
    </w:p>
    <w:p w:rsidR="006C6C5C" w:rsidRPr="00295E81" w:rsidRDefault="006C6C5C" w:rsidP="00295E81">
      <w:pPr>
        <w:autoSpaceDE w:val="0"/>
        <w:autoSpaceDN w:val="0"/>
        <w:adjustRightInd w:val="0"/>
        <w:spacing w:after="0" w:line="240" w:lineRule="auto"/>
        <w:ind w:left="851"/>
        <w:jc w:val="both"/>
        <w:rPr>
          <w:rFonts w:ascii="Soberana Sans" w:eastAsia="MS Mincho" w:hAnsi="Soberana Sans" w:cs="Arial"/>
          <w:sz w:val="20"/>
          <w:szCs w:val="20"/>
        </w:rPr>
      </w:pPr>
      <w:r w:rsidRPr="00295E81">
        <w:rPr>
          <w:rFonts w:ascii="Soberana Sans" w:eastAsia="MS Mincho" w:hAnsi="Soberana Sans" w:cs="Arial"/>
          <w:sz w:val="20"/>
          <w:szCs w:val="20"/>
        </w:rPr>
        <w:t>Para efectos de lo previsto en los artículos 5o, primer párrafo, de la Ley y 2 de su Reglamento y de conformidad con los artículos 70, último párrafo del CFF; Cuarto y Sexto Transitorios del “Decreto por el que se reforman, adicionan y derogan diversas disposiciones del Código Fiscal de la Federación” publicado en el DOF el 12 de diciembre de 2011, respecto a la actualización de las multas y cantidades establecidas en la Ley, se tomará en consideración el periodo comprendido desde el último mes cuyo INPC se utilizó para el cálculo de la última actualización y el mes inmediato anterior a la entrada en vigor de dicho Decreto. Asimismo, el factor de actualización se calculará conforme a lo previsto en el artículo 17-A, sexto párrafo del CFF.</w:t>
      </w:r>
    </w:p>
    <w:p w:rsidR="006C6C5C" w:rsidRDefault="00295E81" w:rsidP="00295E81">
      <w:pPr>
        <w:autoSpaceDE w:val="0"/>
        <w:autoSpaceDN w:val="0"/>
        <w:adjustRightInd w:val="0"/>
        <w:spacing w:after="0" w:line="240" w:lineRule="auto"/>
        <w:ind w:left="1276" w:hanging="425"/>
        <w:jc w:val="both"/>
        <w:rPr>
          <w:rFonts w:ascii="Soberana Sans" w:eastAsia="MS Mincho" w:hAnsi="Soberana Sans" w:cs="Arial"/>
          <w:sz w:val="20"/>
          <w:szCs w:val="20"/>
        </w:rPr>
      </w:pPr>
      <w:r>
        <w:rPr>
          <w:rFonts w:ascii="Soberana Sans" w:eastAsia="MS Mincho" w:hAnsi="Soberana Sans" w:cs="Arial"/>
          <w:sz w:val="20"/>
          <w:szCs w:val="20"/>
        </w:rPr>
        <w:t>…</w:t>
      </w:r>
    </w:p>
    <w:p w:rsidR="00295E81" w:rsidRPr="00295E81" w:rsidRDefault="00295E81" w:rsidP="00295E81">
      <w:pPr>
        <w:autoSpaceDE w:val="0"/>
        <w:autoSpaceDN w:val="0"/>
        <w:adjustRightInd w:val="0"/>
        <w:spacing w:after="0" w:line="240" w:lineRule="auto"/>
        <w:ind w:left="1276" w:hanging="425"/>
        <w:jc w:val="both"/>
        <w:rPr>
          <w:rFonts w:ascii="Soberana Sans" w:eastAsia="MS Mincho" w:hAnsi="Soberana Sans" w:cs="Arial"/>
          <w:sz w:val="20"/>
          <w:szCs w:val="20"/>
        </w:rPr>
      </w:pPr>
    </w:p>
    <w:p w:rsidR="006C6C5C" w:rsidRDefault="006C6C5C" w:rsidP="001C3B87">
      <w:pPr>
        <w:autoSpaceDE w:val="0"/>
        <w:autoSpaceDN w:val="0"/>
        <w:adjustRightInd w:val="0"/>
        <w:spacing w:after="0" w:line="240" w:lineRule="auto"/>
        <w:ind w:left="1134" w:hanging="283"/>
        <w:jc w:val="both"/>
        <w:rPr>
          <w:rFonts w:ascii="Soberana Sans" w:eastAsia="MS Mincho" w:hAnsi="Soberana Sans" w:cs="Arial"/>
          <w:sz w:val="20"/>
          <w:szCs w:val="20"/>
        </w:rPr>
      </w:pPr>
      <w:r w:rsidRPr="00295E81">
        <w:rPr>
          <w:rFonts w:ascii="Soberana Sans" w:eastAsia="MS Mincho" w:hAnsi="Soberana Sans" w:cs="Arial"/>
          <w:b/>
          <w:sz w:val="20"/>
          <w:szCs w:val="20"/>
        </w:rPr>
        <w:t>II.</w:t>
      </w:r>
      <w:r w:rsidRPr="00295E81">
        <w:rPr>
          <w:rFonts w:ascii="Soberana Sans" w:eastAsia="MS Mincho" w:hAnsi="Soberana Sans" w:cs="Arial"/>
          <w:sz w:val="20"/>
          <w:szCs w:val="20"/>
        </w:rPr>
        <w:t xml:space="preserve"> Para la actualización del artículo 16-A, penúltimo párrafo, de la Ley y de conformidad con el artículo Quinto Transitorio del “Decreto por el que se reforman, adicionan y derogan diversas disposiciones del Código Fiscal de la Federación” publicado en el DOF el 12 de diciembre de 2011, se utilizó el INPC del mes de noviembre de 2001, toda vez que la reforma de dicho artículo entró en vigor el 15 de febrero de 2002.</w:t>
      </w:r>
    </w:p>
    <w:p w:rsidR="001C3B87" w:rsidRPr="00295E81" w:rsidRDefault="001C3B87" w:rsidP="00295E81">
      <w:pPr>
        <w:autoSpaceDE w:val="0"/>
        <w:autoSpaceDN w:val="0"/>
        <w:adjustRightInd w:val="0"/>
        <w:spacing w:after="0" w:line="240" w:lineRule="auto"/>
        <w:ind w:left="851"/>
        <w:jc w:val="both"/>
        <w:rPr>
          <w:rFonts w:ascii="Soberana Sans" w:eastAsia="MS Mincho" w:hAnsi="Soberana Sans" w:cs="Arial"/>
          <w:sz w:val="20"/>
          <w:szCs w:val="20"/>
        </w:rPr>
      </w:pPr>
    </w:p>
    <w:p w:rsidR="006C6C5C" w:rsidRDefault="006C6C5C" w:rsidP="001C3B87">
      <w:pPr>
        <w:autoSpaceDE w:val="0"/>
        <w:autoSpaceDN w:val="0"/>
        <w:adjustRightInd w:val="0"/>
        <w:spacing w:after="0" w:line="240" w:lineRule="auto"/>
        <w:ind w:left="1134"/>
        <w:jc w:val="both"/>
        <w:rPr>
          <w:rFonts w:ascii="Soberana Sans" w:eastAsia="MS Mincho" w:hAnsi="Soberana Sans" w:cs="Arial"/>
          <w:sz w:val="20"/>
          <w:szCs w:val="20"/>
        </w:rPr>
      </w:pPr>
      <w:r w:rsidRPr="00295E81">
        <w:rPr>
          <w:rFonts w:ascii="Soberana Sans" w:eastAsia="MS Mincho" w:hAnsi="Soberana Sans" w:cs="Arial"/>
          <w:sz w:val="20"/>
          <w:szCs w:val="20"/>
        </w:rPr>
        <w:t>En este sentido y de conformidad con el artículo 17-A, séptimo párrafo del CFF, se dividió el INPC correspondiente al mes de noviembre de 2011 que fue de 102.7070 puntos, entre el INPC correspondiente al mes de noviembre de 2001 que fue de 67.0421 puntos. Como resultado de esta operación, el factor de actualización obtenido y aplicado fue de 1.5319.</w:t>
      </w:r>
    </w:p>
    <w:p w:rsidR="001C3B87" w:rsidRPr="00295E81" w:rsidRDefault="001C3B87" w:rsidP="00295E81">
      <w:pPr>
        <w:autoSpaceDE w:val="0"/>
        <w:autoSpaceDN w:val="0"/>
        <w:adjustRightInd w:val="0"/>
        <w:spacing w:after="0" w:line="240" w:lineRule="auto"/>
        <w:ind w:left="851"/>
        <w:jc w:val="both"/>
        <w:rPr>
          <w:rFonts w:ascii="Soberana Sans" w:eastAsia="MS Mincho" w:hAnsi="Soberana Sans" w:cs="Arial"/>
          <w:sz w:val="20"/>
          <w:szCs w:val="20"/>
        </w:rPr>
      </w:pPr>
    </w:p>
    <w:p w:rsidR="006C6C5C" w:rsidRDefault="006C6C5C" w:rsidP="001C3B87">
      <w:pPr>
        <w:autoSpaceDE w:val="0"/>
        <w:autoSpaceDN w:val="0"/>
        <w:adjustRightInd w:val="0"/>
        <w:spacing w:after="0" w:line="240" w:lineRule="auto"/>
        <w:ind w:left="1134"/>
        <w:jc w:val="both"/>
        <w:rPr>
          <w:rFonts w:ascii="Soberana Sans" w:eastAsia="MS Mincho" w:hAnsi="Soberana Sans" w:cs="Arial"/>
          <w:sz w:val="20"/>
          <w:szCs w:val="20"/>
        </w:rPr>
      </w:pPr>
      <w:r w:rsidRPr="00295E81">
        <w:rPr>
          <w:rFonts w:ascii="Soberana Sans" w:eastAsia="MS Mincho" w:hAnsi="Soberana Sans" w:cs="Arial"/>
          <w:sz w:val="20"/>
          <w:szCs w:val="20"/>
        </w:rPr>
        <w:lastRenderedPageBreak/>
        <w:t>Tratándose del artículo 16-B, último párrafo, de la Ley y de la fracción IV del artículo Segundo de las Disposiciones Transitorias de la Ley del “Decreto por el que se reforman, adicionan y derogan diversas disposiciones de la Ley Aduanera” publicado en el DOF el 30 de diciembre de 2002; y de conformidad con el artículo Quinto Transitorio del “Decreto por el que se reforman, adicionan y derogan diversas disposiciones del Código Fiscal de la Federación” publicado en el DOF el 12 de diciembre de 2011, se utilizó el INPC del mes de noviembre de 2002, debido a que la adición del último párrafo del artículo 16-B, así como de la fracción IV antes referida entraron en vigor el 1o. de enero de 2003.</w:t>
      </w:r>
    </w:p>
    <w:p w:rsidR="001C3B87" w:rsidRPr="00295E81" w:rsidRDefault="001C3B87" w:rsidP="001C3B87">
      <w:pPr>
        <w:autoSpaceDE w:val="0"/>
        <w:autoSpaceDN w:val="0"/>
        <w:adjustRightInd w:val="0"/>
        <w:spacing w:after="0" w:line="240" w:lineRule="auto"/>
        <w:ind w:left="851"/>
        <w:jc w:val="both"/>
        <w:rPr>
          <w:rFonts w:ascii="Soberana Sans" w:eastAsia="MS Mincho" w:hAnsi="Soberana Sans" w:cs="Arial"/>
          <w:sz w:val="20"/>
          <w:szCs w:val="20"/>
        </w:rPr>
      </w:pPr>
    </w:p>
    <w:p w:rsidR="006C6C5C" w:rsidRPr="00295E81" w:rsidRDefault="006C6C5C" w:rsidP="001C3B87">
      <w:pPr>
        <w:autoSpaceDE w:val="0"/>
        <w:autoSpaceDN w:val="0"/>
        <w:adjustRightInd w:val="0"/>
        <w:spacing w:after="0" w:line="240" w:lineRule="auto"/>
        <w:ind w:left="1134"/>
        <w:jc w:val="both"/>
        <w:rPr>
          <w:rFonts w:ascii="Soberana Sans" w:eastAsia="MS Mincho" w:hAnsi="Soberana Sans" w:cs="Arial"/>
          <w:sz w:val="20"/>
          <w:szCs w:val="20"/>
        </w:rPr>
      </w:pPr>
      <w:r w:rsidRPr="00295E81">
        <w:rPr>
          <w:rFonts w:ascii="Soberana Sans" w:eastAsia="MS Mincho" w:hAnsi="Soberana Sans" w:cs="Arial"/>
          <w:sz w:val="20"/>
          <w:szCs w:val="20"/>
        </w:rPr>
        <w:t>En este sentido y de conformidad con el artículo 17-A, séptimo párrafo del CFF, se dividió el INPC correspondiente al mes de noviembre de 2011 que fue de 102.7070 puntos, entre el INPC del mes de noviembre de 2002 que fue de 70.6544 puntos. Como resultado de esta operación, el factor de actualización obtenido y aplicado fue de 1.4536.</w:t>
      </w:r>
    </w:p>
    <w:p w:rsidR="006C6C5C" w:rsidRPr="00295E81" w:rsidRDefault="001C3B87" w:rsidP="001C3B87">
      <w:pPr>
        <w:autoSpaceDE w:val="0"/>
        <w:autoSpaceDN w:val="0"/>
        <w:adjustRightInd w:val="0"/>
        <w:spacing w:after="0" w:line="240" w:lineRule="auto"/>
        <w:ind w:left="1134"/>
        <w:jc w:val="both"/>
        <w:rPr>
          <w:rFonts w:ascii="Soberana Sans" w:eastAsia="MS Mincho" w:hAnsi="Soberana Sans" w:cs="Arial"/>
          <w:sz w:val="20"/>
          <w:szCs w:val="20"/>
        </w:rPr>
      </w:pPr>
      <w:r>
        <w:rPr>
          <w:rFonts w:ascii="Soberana Sans" w:eastAsia="MS Mincho" w:hAnsi="Soberana Sans" w:cs="Arial"/>
          <w:sz w:val="20"/>
          <w:szCs w:val="20"/>
        </w:rPr>
        <w:t>…”</w:t>
      </w:r>
    </w:p>
    <w:p w:rsidR="006C6C5C" w:rsidRDefault="006C6C5C" w:rsidP="00C066CE">
      <w:pPr>
        <w:autoSpaceDE w:val="0"/>
        <w:autoSpaceDN w:val="0"/>
        <w:adjustRightInd w:val="0"/>
        <w:spacing w:after="0" w:line="240" w:lineRule="auto"/>
        <w:jc w:val="both"/>
        <w:rPr>
          <w:rFonts w:ascii="Soberana Sans" w:eastAsia="MS Mincho" w:hAnsi="Soberana Sans" w:cs="Arial"/>
          <w:b/>
          <w:bCs/>
        </w:rPr>
      </w:pPr>
    </w:p>
    <w:p w:rsidR="006A54E0" w:rsidRPr="00D04A18" w:rsidRDefault="006A54E0" w:rsidP="00C066CE">
      <w:pPr>
        <w:autoSpaceDE w:val="0"/>
        <w:autoSpaceDN w:val="0"/>
        <w:adjustRightInd w:val="0"/>
        <w:spacing w:after="0" w:line="240" w:lineRule="auto"/>
        <w:jc w:val="both"/>
        <w:rPr>
          <w:rFonts w:ascii="Soberana Sans" w:eastAsia="MS Mincho" w:hAnsi="Soberana Sans" w:cs="Arial"/>
          <w:bCs/>
        </w:rPr>
      </w:pPr>
      <w:r w:rsidRPr="00D04A18">
        <w:rPr>
          <w:rFonts w:ascii="Soberana Sans" w:eastAsia="MS Mincho" w:hAnsi="Soberana Sans" w:cs="Arial"/>
          <w:bCs/>
        </w:rPr>
        <w:t>Ahora bie</w:t>
      </w:r>
      <w:r w:rsidR="00A816CA">
        <w:rPr>
          <w:rFonts w:ascii="Soberana Sans" w:eastAsia="MS Mincho" w:hAnsi="Soberana Sans" w:cs="Arial"/>
          <w:bCs/>
        </w:rPr>
        <w:t>n, la r</w:t>
      </w:r>
      <w:r w:rsidR="00797B89">
        <w:rPr>
          <w:rFonts w:ascii="Soberana Sans" w:eastAsia="MS Mincho" w:hAnsi="Soberana Sans" w:cs="Arial"/>
          <w:bCs/>
        </w:rPr>
        <w:t>egla</w:t>
      </w:r>
      <w:r w:rsidR="00B3632F">
        <w:rPr>
          <w:rFonts w:ascii="Soberana Sans" w:eastAsia="MS Mincho" w:hAnsi="Soberana Sans" w:cs="Arial"/>
          <w:bCs/>
        </w:rPr>
        <w:t xml:space="preserve"> 1.8.3.</w:t>
      </w:r>
      <w:r w:rsidRPr="00D04A18">
        <w:rPr>
          <w:rFonts w:ascii="Soberana Sans" w:eastAsia="MS Mincho" w:hAnsi="Soberana Sans" w:cs="Arial"/>
          <w:bCs/>
        </w:rPr>
        <w:t xml:space="preserve"> </w:t>
      </w:r>
      <w:r w:rsidR="00797B89">
        <w:rPr>
          <w:rFonts w:ascii="Soberana Sans" w:eastAsia="MS Mincho" w:hAnsi="Soberana Sans" w:cs="Arial"/>
          <w:bCs/>
        </w:rPr>
        <w:t xml:space="preserve">de las RGCE para </w:t>
      </w:r>
      <w:r w:rsidR="003B7188">
        <w:rPr>
          <w:rFonts w:ascii="Soberana Sans" w:eastAsia="MS Mincho" w:hAnsi="Soberana Sans" w:cs="Arial"/>
          <w:bCs/>
        </w:rPr>
        <w:t xml:space="preserve">2018 </w:t>
      </w:r>
      <w:r w:rsidRPr="00D04A18">
        <w:rPr>
          <w:rFonts w:ascii="Soberana Sans" w:eastAsia="MS Mincho" w:hAnsi="Soberana Sans" w:cs="Arial"/>
          <w:bCs/>
        </w:rPr>
        <w:t>dispone:</w:t>
      </w:r>
    </w:p>
    <w:p w:rsidR="006A54E0" w:rsidRPr="00B3632F" w:rsidRDefault="006A54E0" w:rsidP="00C066CE">
      <w:pPr>
        <w:autoSpaceDE w:val="0"/>
        <w:autoSpaceDN w:val="0"/>
        <w:adjustRightInd w:val="0"/>
        <w:spacing w:after="0" w:line="240" w:lineRule="auto"/>
        <w:jc w:val="both"/>
        <w:rPr>
          <w:rFonts w:ascii="Soberana Sans" w:eastAsia="MS Mincho" w:hAnsi="Soberana Sans" w:cs="Arial"/>
          <w:bCs/>
          <w:sz w:val="20"/>
          <w:szCs w:val="20"/>
        </w:rPr>
      </w:pPr>
    </w:p>
    <w:p w:rsidR="006A54E0" w:rsidRPr="00B3632F" w:rsidRDefault="00295E81" w:rsidP="00295E81">
      <w:pPr>
        <w:pStyle w:val="Texto"/>
        <w:spacing w:after="0" w:line="240" w:lineRule="auto"/>
        <w:ind w:left="851" w:firstLine="0"/>
        <w:rPr>
          <w:rFonts w:ascii="Soberana Sans" w:hAnsi="Soberana Sans"/>
          <w:b/>
          <w:i/>
          <w:sz w:val="20"/>
          <w:szCs w:val="20"/>
        </w:rPr>
      </w:pPr>
      <w:r>
        <w:rPr>
          <w:rFonts w:ascii="Soberana Sans" w:hAnsi="Soberana Sans"/>
          <w:b/>
          <w:i/>
          <w:sz w:val="20"/>
          <w:szCs w:val="20"/>
        </w:rPr>
        <w:t>“</w:t>
      </w:r>
      <w:r w:rsidR="006A54E0" w:rsidRPr="00B3632F">
        <w:rPr>
          <w:rFonts w:ascii="Soberana Sans" w:hAnsi="Soberana Sans"/>
          <w:b/>
          <w:i/>
          <w:sz w:val="20"/>
          <w:szCs w:val="20"/>
        </w:rPr>
        <w:t>Pago del aprovechamiento de los autorizados para prestar los servicios de prevalidación electrónica</w:t>
      </w:r>
    </w:p>
    <w:p w:rsidR="006A54E0" w:rsidRDefault="006A54E0" w:rsidP="00295E81">
      <w:pPr>
        <w:autoSpaceDE w:val="0"/>
        <w:autoSpaceDN w:val="0"/>
        <w:adjustRightInd w:val="0"/>
        <w:spacing w:after="0" w:line="240" w:lineRule="auto"/>
        <w:ind w:left="851" w:hanging="709"/>
        <w:jc w:val="both"/>
        <w:rPr>
          <w:rFonts w:ascii="Soberana Sans" w:hAnsi="Soberana Sans"/>
          <w:i/>
          <w:sz w:val="20"/>
          <w:szCs w:val="20"/>
        </w:rPr>
      </w:pPr>
      <w:r w:rsidRPr="00B3632F">
        <w:rPr>
          <w:rFonts w:ascii="Soberana Sans" w:hAnsi="Soberana Sans"/>
          <w:b/>
          <w:i/>
          <w:sz w:val="20"/>
          <w:szCs w:val="20"/>
        </w:rPr>
        <w:t>1.8.3.</w:t>
      </w:r>
      <w:r w:rsidRPr="00B3632F">
        <w:rPr>
          <w:rFonts w:ascii="Soberana Sans" w:hAnsi="Soberana Sans"/>
          <w:b/>
          <w:i/>
          <w:sz w:val="20"/>
          <w:szCs w:val="20"/>
        </w:rPr>
        <w:tab/>
      </w:r>
      <w:r w:rsidRPr="00B3632F">
        <w:rPr>
          <w:rFonts w:ascii="Soberana Sans" w:hAnsi="Soberana Sans"/>
          <w:i/>
          <w:sz w:val="20"/>
          <w:szCs w:val="20"/>
        </w:rPr>
        <w:t>Para los efectos del artículo 16-A, penúltimo párrafo, de la Ley, el aprovechamiento que están obligadas a pagar las personas autorizadas, por la prestación del servicio de prevalidación electrónica de datos, incluida la contraprestación que se pagará a estas últimas por cada pedimento que prevaliden será de $230.00, la cual se pagará conjuntamente con el IVA que corresponda, debiéndose asentar el monto correspondiente al aprovechamiento y a la contraprestación por separado en el bloque denominado “cuadro de liquidación”, al tramitar el pedimento respectivo mediante efectivo o cheque expedido a nombre de la persona autorizada.</w:t>
      </w:r>
    </w:p>
    <w:p w:rsidR="006A54E0" w:rsidRPr="00B3632F" w:rsidRDefault="006A54E0" w:rsidP="00295E81">
      <w:pPr>
        <w:autoSpaceDE w:val="0"/>
        <w:autoSpaceDN w:val="0"/>
        <w:adjustRightInd w:val="0"/>
        <w:spacing w:after="0" w:line="240" w:lineRule="auto"/>
        <w:ind w:left="851"/>
        <w:jc w:val="both"/>
        <w:rPr>
          <w:rFonts w:ascii="Soberana Sans" w:eastAsia="MS Mincho" w:hAnsi="Soberana Sans" w:cs="Arial"/>
          <w:b/>
          <w:bCs/>
          <w:i/>
          <w:sz w:val="20"/>
          <w:szCs w:val="20"/>
        </w:rPr>
      </w:pPr>
      <w:r w:rsidRPr="00B3632F">
        <w:rPr>
          <w:rFonts w:ascii="Soberana Sans" w:hAnsi="Soberana Sans"/>
          <w:i/>
          <w:sz w:val="20"/>
          <w:szCs w:val="20"/>
        </w:rPr>
        <w:t>…”</w:t>
      </w:r>
    </w:p>
    <w:p w:rsidR="006A54E0" w:rsidRPr="000E1536" w:rsidRDefault="006A54E0" w:rsidP="00C066CE">
      <w:pPr>
        <w:autoSpaceDE w:val="0"/>
        <w:autoSpaceDN w:val="0"/>
        <w:adjustRightInd w:val="0"/>
        <w:spacing w:after="0" w:line="240" w:lineRule="auto"/>
        <w:jc w:val="both"/>
        <w:rPr>
          <w:rFonts w:ascii="Soberana Sans" w:eastAsia="MS Mincho" w:hAnsi="Soberana Sans" w:cs="Arial"/>
          <w:bCs/>
        </w:rPr>
      </w:pPr>
    </w:p>
    <w:p w:rsidR="00F04B79" w:rsidRPr="000E1536" w:rsidRDefault="003B7188" w:rsidP="00C066CE">
      <w:pPr>
        <w:autoSpaceDE w:val="0"/>
        <w:autoSpaceDN w:val="0"/>
        <w:adjustRightInd w:val="0"/>
        <w:spacing w:after="0" w:line="240" w:lineRule="auto"/>
        <w:jc w:val="both"/>
        <w:rPr>
          <w:rFonts w:ascii="Soberana Sans" w:eastAsia="MS Mincho" w:hAnsi="Soberana Sans" w:cs="Arial"/>
          <w:bCs/>
        </w:rPr>
      </w:pPr>
      <w:r>
        <w:rPr>
          <w:rFonts w:ascii="Soberana Sans" w:eastAsia="MS Mincho" w:hAnsi="Soberana Sans" w:cs="Arial"/>
          <w:bCs/>
        </w:rPr>
        <w:t>La</w:t>
      </w:r>
      <w:r w:rsidR="00F04B79" w:rsidRPr="000E1536">
        <w:rPr>
          <w:rFonts w:ascii="Soberana Sans" w:eastAsia="MS Mincho" w:hAnsi="Soberana Sans" w:cs="Arial"/>
          <w:bCs/>
        </w:rPr>
        <w:t xml:space="preserve"> cantidad de $230.00 a que se refiere la citada regla 1.8.3., en su primer párrafo considera:</w:t>
      </w:r>
    </w:p>
    <w:p w:rsidR="00F04B79" w:rsidRPr="000E1536" w:rsidRDefault="00F04B79" w:rsidP="00C066CE">
      <w:pPr>
        <w:autoSpaceDE w:val="0"/>
        <w:autoSpaceDN w:val="0"/>
        <w:adjustRightInd w:val="0"/>
        <w:spacing w:after="0" w:line="240" w:lineRule="auto"/>
        <w:jc w:val="both"/>
        <w:rPr>
          <w:rFonts w:ascii="Soberana Sans" w:eastAsia="MS Mincho" w:hAnsi="Soberana Sans" w:cs="Arial"/>
          <w:bCs/>
        </w:rPr>
      </w:pPr>
    </w:p>
    <w:p w:rsidR="00F04B79" w:rsidRPr="003B7188" w:rsidRDefault="00F04B79" w:rsidP="00A816CA">
      <w:pPr>
        <w:pStyle w:val="Prrafodelista"/>
        <w:numPr>
          <w:ilvl w:val="0"/>
          <w:numId w:val="6"/>
        </w:numPr>
        <w:autoSpaceDE w:val="0"/>
        <w:autoSpaceDN w:val="0"/>
        <w:adjustRightInd w:val="0"/>
        <w:jc w:val="both"/>
        <w:rPr>
          <w:rFonts w:ascii="Soberana Sans" w:eastAsia="MS Mincho" w:hAnsi="Soberana Sans" w:cs="Arial"/>
          <w:bCs/>
        </w:rPr>
      </w:pPr>
      <w:r w:rsidRPr="003B7188">
        <w:rPr>
          <w:rFonts w:ascii="Soberana Sans" w:eastAsia="MS Mincho" w:hAnsi="Soberana Sans" w:cs="Arial"/>
          <w:bCs/>
        </w:rPr>
        <w:t>$210.00, relativos al aprovechamiento dispuesto en el artículo 16-A, penúltimo párrafo de la Ley Aduanera.</w:t>
      </w:r>
    </w:p>
    <w:p w:rsidR="00F04B79" w:rsidRPr="000E1536" w:rsidRDefault="00F04B79" w:rsidP="00C066CE">
      <w:pPr>
        <w:autoSpaceDE w:val="0"/>
        <w:autoSpaceDN w:val="0"/>
        <w:adjustRightInd w:val="0"/>
        <w:spacing w:after="0" w:line="240" w:lineRule="auto"/>
        <w:jc w:val="both"/>
        <w:rPr>
          <w:rFonts w:ascii="Soberana Sans" w:eastAsia="MS Mincho" w:hAnsi="Soberana Sans" w:cs="Arial"/>
          <w:bCs/>
        </w:rPr>
      </w:pPr>
    </w:p>
    <w:p w:rsidR="00F04B79" w:rsidRPr="003B7188" w:rsidRDefault="00F04B79" w:rsidP="00A816CA">
      <w:pPr>
        <w:pStyle w:val="Prrafodelista"/>
        <w:numPr>
          <w:ilvl w:val="0"/>
          <w:numId w:val="6"/>
        </w:numPr>
        <w:autoSpaceDE w:val="0"/>
        <w:autoSpaceDN w:val="0"/>
        <w:adjustRightInd w:val="0"/>
        <w:jc w:val="both"/>
        <w:rPr>
          <w:rFonts w:ascii="Soberana Sans" w:eastAsia="MS Mincho" w:hAnsi="Soberana Sans" w:cs="Arial"/>
          <w:bCs/>
        </w:rPr>
      </w:pPr>
      <w:r w:rsidRPr="003B7188">
        <w:rPr>
          <w:rFonts w:ascii="Soberana Sans" w:eastAsia="MS Mincho" w:hAnsi="Soberana Sans" w:cs="Arial"/>
          <w:bCs/>
        </w:rPr>
        <w:t xml:space="preserve">$20.00, relativos a la contraprestación </w:t>
      </w:r>
      <w:r w:rsidR="00C17D4C" w:rsidRPr="003B7188">
        <w:rPr>
          <w:rFonts w:ascii="Soberana Sans" w:eastAsia="MS Mincho" w:hAnsi="Soberana Sans" w:cs="Arial"/>
          <w:bCs/>
        </w:rPr>
        <w:t xml:space="preserve">que se pagará a las personas autorizadas </w:t>
      </w:r>
      <w:r w:rsidR="003B7188">
        <w:rPr>
          <w:rFonts w:ascii="Soberana Sans" w:eastAsia="MS Mincho" w:hAnsi="Soberana Sans" w:cs="Arial"/>
          <w:bCs/>
        </w:rPr>
        <w:t>para prestar</w:t>
      </w:r>
      <w:r w:rsidR="00C17D4C" w:rsidRPr="003B7188">
        <w:rPr>
          <w:rFonts w:ascii="Soberana Sans" w:eastAsia="MS Mincho" w:hAnsi="Soberana Sans" w:cs="Arial"/>
          <w:bCs/>
        </w:rPr>
        <w:t xml:space="preserve"> los servicios de prevalidación.</w:t>
      </w:r>
    </w:p>
    <w:p w:rsidR="00F04B79" w:rsidRPr="000E1536" w:rsidRDefault="00F04B79" w:rsidP="00C066CE">
      <w:pPr>
        <w:autoSpaceDE w:val="0"/>
        <w:autoSpaceDN w:val="0"/>
        <w:adjustRightInd w:val="0"/>
        <w:spacing w:after="0" w:line="240" w:lineRule="auto"/>
        <w:jc w:val="both"/>
        <w:rPr>
          <w:rFonts w:ascii="Soberana Sans" w:eastAsia="MS Mincho" w:hAnsi="Soberana Sans" w:cs="Arial"/>
          <w:bCs/>
        </w:rPr>
      </w:pPr>
    </w:p>
    <w:p w:rsidR="00C17D4C" w:rsidRPr="000E1536" w:rsidRDefault="003B7188" w:rsidP="00C066CE">
      <w:pPr>
        <w:autoSpaceDE w:val="0"/>
        <w:autoSpaceDN w:val="0"/>
        <w:adjustRightInd w:val="0"/>
        <w:spacing w:after="0" w:line="240" w:lineRule="auto"/>
        <w:jc w:val="both"/>
        <w:rPr>
          <w:rFonts w:ascii="Soberana Sans" w:eastAsia="MS Mincho" w:hAnsi="Soberana Sans" w:cs="Arial"/>
          <w:bCs/>
        </w:rPr>
      </w:pPr>
      <w:r>
        <w:rPr>
          <w:rFonts w:ascii="Soberana Sans" w:eastAsia="MS Mincho" w:hAnsi="Soberana Sans" w:cs="Arial"/>
          <w:bCs/>
        </w:rPr>
        <w:t>En virtud de lo anterior</w:t>
      </w:r>
      <w:r w:rsidR="00C17D4C" w:rsidRPr="000E1536">
        <w:rPr>
          <w:rFonts w:ascii="Soberana Sans" w:eastAsia="MS Mincho" w:hAnsi="Soberana Sans" w:cs="Arial"/>
          <w:bCs/>
        </w:rPr>
        <w:t xml:space="preserve"> se requiere aclarar que</w:t>
      </w:r>
      <w:r w:rsidR="000E1536">
        <w:rPr>
          <w:rFonts w:ascii="Soberana Sans" w:eastAsia="MS Mincho" w:hAnsi="Soberana Sans" w:cs="Arial"/>
          <w:bCs/>
        </w:rPr>
        <w:t>,</w:t>
      </w:r>
      <w:r w:rsidR="00C17D4C" w:rsidRPr="000E1536">
        <w:rPr>
          <w:rFonts w:ascii="Soberana Sans" w:eastAsia="MS Mincho" w:hAnsi="Soberana Sans" w:cs="Arial"/>
          <w:bCs/>
        </w:rPr>
        <w:t xml:space="preserve"> en el Anexo 2 de las RGCE para 2018, conforme a las disposiciones antes transcritas, se previene la cantidad actualizada </w:t>
      </w:r>
      <w:r>
        <w:rPr>
          <w:rFonts w:ascii="Soberana Sans" w:eastAsia="MS Mincho" w:hAnsi="Soberana Sans" w:cs="Arial"/>
          <w:bCs/>
        </w:rPr>
        <w:t xml:space="preserve">del aprovechamiento </w:t>
      </w:r>
      <w:r w:rsidR="00C17D4C" w:rsidRPr="000E1536">
        <w:rPr>
          <w:rFonts w:ascii="Soberana Sans" w:eastAsia="MS Mincho" w:hAnsi="Soberana Sans" w:cs="Arial"/>
          <w:bCs/>
        </w:rPr>
        <w:t xml:space="preserve">que establece la Ley Aduanera, </w:t>
      </w:r>
      <w:r>
        <w:rPr>
          <w:rFonts w:ascii="Soberana Sans" w:eastAsia="MS Mincho" w:hAnsi="Soberana Sans" w:cs="Arial"/>
          <w:bCs/>
        </w:rPr>
        <w:t>en el</w:t>
      </w:r>
      <w:r w:rsidR="00C17D4C" w:rsidRPr="000E1536">
        <w:rPr>
          <w:rFonts w:ascii="Soberana Sans" w:eastAsia="MS Mincho" w:hAnsi="Soberana Sans" w:cs="Arial"/>
          <w:bCs/>
        </w:rPr>
        <w:t xml:space="preserve"> artículo 16-A penúltimo párrafo</w:t>
      </w:r>
      <w:r>
        <w:rPr>
          <w:rFonts w:ascii="Soberana Sans" w:eastAsia="MS Mincho" w:hAnsi="Soberana Sans" w:cs="Arial"/>
          <w:bCs/>
        </w:rPr>
        <w:t xml:space="preserve">, el cual será </w:t>
      </w:r>
      <w:r w:rsidR="00C17D4C" w:rsidRPr="000E1536">
        <w:rPr>
          <w:rFonts w:ascii="Soberana Sans" w:eastAsia="MS Mincho" w:hAnsi="Soberana Sans" w:cs="Arial"/>
          <w:bCs/>
        </w:rPr>
        <w:t>de $240.00, vigente a partir del 1 de enero de 2018.</w:t>
      </w:r>
    </w:p>
    <w:p w:rsidR="00C17D4C" w:rsidRPr="000E1536" w:rsidRDefault="00C17D4C" w:rsidP="00C066CE">
      <w:pPr>
        <w:autoSpaceDE w:val="0"/>
        <w:autoSpaceDN w:val="0"/>
        <w:adjustRightInd w:val="0"/>
        <w:spacing w:after="0" w:line="240" w:lineRule="auto"/>
        <w:jc w:val="both"/>
        <w:rPr>
          <w:rFonts w:ascii="Soberana Sans" w:eastAsia="MS Mincho" w:hAnsi="Soberana Sans" w:cs="Arial"/>
          <w:bCs/>
        </w:rPr>
      </w:pPr>
    </w:p>
    <w:p w:rsidR="00C17D4C" w:rsidRPr="000E1536" w:rsidRDefault="003B7188" w:rsidP="00C066CE">
      <w:pPr>
        <w:autoSpaceDE w:val="0"/>
        <w:autoSpaceDN w:val="0"/>
        <w:adjustRightInd w:val="0"/>
        <w:spacing w:after="0" w:line="240" w:lineRule="auto"/>
        <w:jc w:val="both"/>
        <w:rPr>
          <w:rFonts w:ascii="Soberana Sans" w:eastAsia="MS Mincho" w:hAnsi="Soberana Sans" w:cs="Arial"/>
          <w:bCs/>
        </w:rPr>
      </w:pPr>
      <w:r>
        <w:rPr>
          <w:rFonts w:ascii="Soberana Sans" w:eastAsia="MS Mincho" w:hAnsi="Soberana Sans" w:cs="Arial"/>
          <w:bCs/>
        </w:rPr>
        <w:t>P</w:t>
      </w:r>
      <w:r w:rsidR="00C17D4C" w:rsidRPr="000E1536">
        <w:rPr>
          <w:rFonts w:ascii="Soberana Sans" w:eastAsia="MS Mincho" w:hAnsi="Soberana Sans" w:cs="Arial"/>
          <w:bCs/>
        </w:rPr>
        <w:t>or cuanto a la cantidad de $20.00, relativa a la contraprestación</w:t>
      </w:r>
      <w:r>
        <w:rPr>
          <w:rFonts w:ascii="Soberana Sans" w:eastAsia="MS Mincho" w:hAnsi="Soberana Sans" w:cs="Arial"/>
          <w:bCs/>
        </w:rPr>
        <w:t xml:space="preserve"> del servicio, no se establece cambio alguno</w:t>
      </w:r>
      <w:r w:rsidR="00C17D4C" w:rsidRPr="000E1536">
        <w:rPr>
          <w:rFonts w:ascii="Soberana Sans" w:eastAsia="MS Mincho" w:hAnsi="Soberana Sans" w:cs="Arial"/>
          <w:bCs/>
        </w:rPr>
        <w:t>.</w:t>
      </w:r>
    </w:p>
    <w:p w:rsidR="00C17D4C" w:rsidRPr="000E1536" w:rsidRDefault="00C17D4C" w:rsidP="00C066CE">
      <w:pPr>
        <w:autoSpaceDE w:val="0"/>
        <w:autoSpaceDN w:val="0"/>
        <w:adjustRightInd w:val="0"/>
        <w:spacing w:after="0" w:line="240" w:lineRule="auto"/>
        <w:jc w:val="both"/>
        <w:rPr>
          <w:rFonts w:ascii="Soberana Sans" w:eastAsia="MS Mincho" w:hAnsi="Soberana Sans" w:cs="Arial"/>
          <w:bCs/>
        </w:rPr>
      </w:pPr>
    </w:p>
    <w:p w:rsidR="00C17D4C" w:rsidRPr="000E1536" w:rsidRDefault="003B7188" w:rsidP="00C066CE">
      <w:pPr>
        <w:autoSpaceDE w:val="0"/>
        <w:autoSpaceDN w:val="0"/>
        <w:adjustRightInd w:val="0"/>
        <w:spacing w:after="0" w:line="240" w:lineRule="auto"/>
        <w:jc w:val="both"/>
        <w:rPr>
          <w:rFonts w:ascii="Soberana Sans" w:eastAsia="MS Mincho" w:hAnsi="Soberana Sans" w:cs="Arial"/>
          <w:bCs/>
        </w:rPr>
      </w:pPr>
      <w:r>
        <w:rPr>
          <w:rFonts w:ascii="Soberana Sans" w:eastAsia="MS Mincho" w:hAnsi="Soberana Sans" w:cs="Arial"/>
          <w:bCs/>
        </w:rPr>
        <w:t>En este orden de ideas, resulta</w:t>
      </w:r>
      <w:r w:rsidR="00C17D4C" w:rsidRPr="000E1536">
        <w:rPr>
          <w:rFonts w:ascii="Soberana Sans" w:eastAsia="MS Mincho" w:hAnsi="Soberana Sans" w:cs="Arial"/>
          <w:bCs/>
        </w:rPr>
        <w:t xml:space="preserve"> un total de $260.00</w:t>
      </w:r>
      <w:r w:rsidR="009E2926" w:rsidRPr="000E1536">
        <w:rPr>
          <w:rFonts w:ascii="Soberana Sans" w:eastAsia="MS Mincho" w:hAnsi="Soberana Sans" w:cs="Arial"/>
          <w:bCs/>
        </w:rPr>
        <w:t xml:space="preserve">, </w:t>
      </w:r>
      <w:r w:rsidR="00425FFF" w:rsidRPr="000E1536">
        <w:rPr>
          <w:rFonts w:ascii="Soberana Sans" w:eastAsia="MS Mincho" w:hAnsi="Soberana Sans" w:cs="Arial"/>
          <w:bCs/>
        </w:rPr>
        <w:t xml:space="preserve">cantidad que se habrá de </w:t>
      </w:r>
      <w:r w:rsidR="009E2926" w:rsidRPr="000E1536">
        <w:rPr>
          <w:rFonts w:ascii="Soberana Sans" w:eastAsia="MS Mincho" w:hAnsi="Soberana Sans" w:cs="Arial"/>
          <w:bCs/>
        </w:rPr>
        <w:t>pagar conjuntamente con el IVA que corresponda</w:t>
      </w:r>
      <w:r>
        <w:rPr>
          <w:rFonts w:ascii="Soberana Sans" w:eastAsia="MS Mincho" w:hAnsi="Soberana Sans" w:cs="Arial"/>
          <w:bCs/>
        </w:rPr>
        <w:t xml:space="preserve"> conforme a la regla 1.8.3</w:t>
      </w:r>
      <w:r w:rsidR="00C17D4C" w:rsidRPr="000E1536">
        <w:rPr>
          <w:rFonts w:ascii="Soberana Sans" w:eastAsia="MS Mincho" w:hAnsi="Soberana Sans" w:cs="Arial"/>
          <w:bCs/>
        </w:rPr>
        <w:t>.</w:t>
      </w:r>
    </w:p>
    <w:p w:rsidR="00C17D4C" w:rsidRDefault="00C17D4C" w:rsidP="00C066CE">
      <w:pPr>
        <w:autoSpaceDE w:val="0"/>
        <w:autoSpaceDN w:val="0"/>
        <w:adjustRightInd w:val="0"/>
        <w:spacing w:after="0" w:line="240" w:lineRule="auto"/>
        <w:jc w:val="both"/>
        <w:rPr>
          <w:rFonts w:ascii="Soberana Sans" w:hAnsi="Soberana Sans"/>
          <w:b/>
          <w:color w:val="FF0000"/>
        </w:rPr>
      </w:pPr>
    </w:p>
    <w:p w:rsidR="00C95A0B" w:rsidRPr="00C066CE" w:rsidRDefault="00C95A0B" w:rsidP="00C066CE">
      <w:pPr>
        <w:autoSpaceDE w:val="0"/>
        <w:autoSpaceDN w:val="0"/>
        <w:adjustRightInd w:val="0"/>
        <w:spacing w:after="0" w:line="240" w:lineRule="auto"/>
        <w:jc w:val="both"/>
        <w:rPr>
          <w:rFonts w:ascii="Soberana Sans" w:hAnsi="Soberana Sans"/>
        </w:rPr>
      </w:pPr>
    </w:p>
    <w:p w:rsidR="00DC2F7B" w:rsidRPr="00C066CE" w:rsidRDefault="00DC2F7B" w:rsidP="00C066CE">
      <w:pPr>
        <w:autoSpaceDE w:val="0"/>
        <w:autoSpaceDN w:val="0"/>
        <w:adjustRightInd w:val="0"/>
        <w:spacing w:after="0" w:line="240" w:lineRule="auto"/>
        <w:jc w:val="both"/>
        <w:rPr>
          <w:rFonts w:ascii="Soberana Sans" w:hAnsi="Soberana Sans"/>
        </w:rPr>
      </w:pPr>
      <w:r w:rsidRPr="00C066CE">
        <w:rPr>
          <w:rFonts w:ascii="Soberana Sans" w:hAnsi="Soberana Sans"/>
        </w:rPr>
        <w:t>Sin más por el momento, reciban un cordial saludo.</w:t>
      </w:r>
    </w:p>
    <w:p w:rsidR="00A16536" w:rsidRPr="006C6C5C" w:rsidRDefault="00A16536" w:rsidP="00C066CE">
      <w:pPr>
        <w:spacing w:after="0" w:line="240" w:lineRule="auto"/>
        <w:jc w:val="both"/>
        <w:rPr>
          <w:rFonts w:ascii="Soberana Sans" w:hAnsi="Soberana Sans"/>
        </w:rPr>
      </w:pPr>
    </w:p>
    <w:p w:rsidR="00A16536" w:rsidRDefault="00A16536"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Pr="006C6C5C" w:rsidRDefault="00C03D0A" w:rsidP="00C066CE">
      <w:pPr>
        <w:spacing w:after="0" w:line="240" w:lineRule="auto"/>
        <w:jc w:val="both"/>
        <w:rPr>
          <w:rFonts w:ascii="Soberana Sans" w:hAnsi="Soberana Sans"/>
        </w:rPr>
      </w:pPr>
    </w:p>
    <w:p w:rsidR="00A16536" w:rsidRDefault="00A16536"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Default="00C03D0A" w:rsidP="00C066CE">
      <w:pPr>
        <w:spacing w:after="0" w:line="240" w:lineRule="auto"/>
        <w:jc w:val="both"/>
        <w:rPr>
          <w:rFonts w:ascii="Soberana Sans" w:hAnsi="Soberana Sans"/>
        </w:rPr>
      </w:pPr>
    </w:p>
    <w:p w:rsidR="00C03D0A" w:rsidRPr="006C6C5C" w:rsidRDefault="00C03D0A" w:rsidP="00C066CE">
      <w:pPr>
        <w:spacing w:after="0" w:line="240" w:lineRule="auto"/>
        <w:jc w:val="both"/>
        <w:rPr>
          <w:rFonts w:ascii="Soberana Sans" w:hAnsi="Soberana Sans"/>
        </w:rPr>
      </w:pPr>
    </w:p>
    <w:p w:rsidR="00A16536" w:rsidRPr="006C6C5C" w:rsidRDefault="00A16536" w:rsidP="00C066CE">
      <w:pPr>
        <w:spacing w:after="0" w:line="240" w:lineRule="auto"/>
        <w:jc w:val="both"/>
        <w:rPr>
          <w:rFonts w:ascii="Soberana Sans" w:hAnsi="Soberana Sans"/>
        </w:rPr>
      </w:pPr>
    </w:p>
    <w:p w:rsidR="00A16536" w:rsidRPr="006C6C5C" w:rsidRDefault="00A16536" w:rsidP="00C066CE">
      <w:pPr>
        <w:spacing w:after="0" w:line="240" w:lineRule="auto"/>
        <w:jc w:val="both"/>
        <w:rPr>
          <w:rFonts w:ascii="Soberana Sans" w:hAnsi="Soberana Sans"/>
        </w:rPr>
      </w:pPr>
    </w:p>
    <w:sectPr w:rsidR="00A16536" w:rsidRPr="006C6C5C" w:rsidSect="00C03D0A">
      <w:headerReference w:type="default" r:id="rId8"/>
      <w:footerReference w:type="default" r:id="rId9"/>
      <w:type w:val="continuous"/>
      <w:pgSz w:w="12240" w:h="15840" w:code="1"/>
      <w:pgMar w:top="2127" w:right="1418" w:bottom="1985"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7C" w:rsidRDefault="004E5C7C">
      <w:pPr>
        <w:spacing w:after="0" w:line="240" w:lineRule="auto"/>
      </w:pPr>
      <w:r>
        <w:separator/>
      </w:r>
    </w:p>
  </w:endnote>
  <w:endnote w:type="continuationSeparator" w:id="0">
    <w:p w:rsidR="004E5C7C" w:rsidRDefault="004E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1)">
    <w:altName w:val="Arial"/>
    <w:charset w:val="00"/>
    <w:family w:val="swiss"/>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60" w:rsidRDefault="00517360" w:rsidP="00EB4772">
    <w:pPr>
      <w:pStyle w:val="Piedepgina"/>
      <w:tabs>
        <w:tab w:val="clear" w:pos="8504"/>
        <w:tab w:val="right" w:pos="9000"/>
      </w:tabs>
      <w:ind w:right="360"/>
      <w:jc w:val="center"/>
      <w:rPr>
        <w:rFonts w:ascii="Soberana Sans" w:hAnsi="Soberana Sans" w:cs="Arial"/>
        <w:b/>
        <w:color w:val="808080"/>
        <w:sz w:val="16"/>
        <w:szCs w:val="16"/>
      </w:rPr>
    </w:pPr>
    <w:r w:rsidRPr="007941AA">
      <w:rPr>
        <w:rFonts w:ascii="Soberana Sans" w:hAnsi="Soberana Sans" w:cs="Arial"/>
        <w:color w:val="808080"/>
        <w:sz w:val="16"/>
        <w:szCs w:val="16"/>
      </w:rPr>
      <w:t>Servicio de Administración Tributaria</w:t>
    </w:r>
    <w:r w:rsidRPr="007941AA">
      <w:rPr>
        <w:rFonts w:ascii="Soberana Sans" w:hAnsi="Soberana Sans" w:cs="Arial"/>
        <w:color w:val="808080"/>
        <w:sz w:val="16"/>
        <w:szCs w:val="16"/>
      </w:rPr>
      <w:tab/>
      <w:t xml:space="preserve"> </w:t>
    </w:r>
    <w:r w:rsidRPr="007941AA">
      <w:rPr>
        <w:rFonts w:ascii="Times New Roman" w:hAnsi="Times New Roman"/>
        <w:color w:val="808080"/>
        <w:sz w:val="16"/>
        <w:szCs w:val="16"/>
      </w:rPr>
      <w:t>│</w:t>
    </w:r>
    <w:r w:rsidRPr="007941AA">
      <w:rPr>
        <w:rFonts w:ascii="Soberana Sans" w:hAnsi="Soberana Sans" w:cs="Arial"/>
        <w:color w:val="808080"/>
        <w:sz w:val="16"/>
        <w:szCs w:val="16"/>
      </w:rPr>
      <w:t xml:space="preserve"> Av. Hidalgo, núm. 77, col. Guerrero, delegación Cuauhtémoc, </w:t>
    </w:r>
    <w:r>
      <w:rPr>
        <w:rFonts w:ascii="Soberana Sans" w:hAnsi="Soberana Sans" w:cs="Arial"/>
        <w:color w:val="808080"/>
        <w:sz w:val="16"/>
        <w:szCs w:val="16"/>
      </w:rPr>
      <w:t>Ciudad de México</w:t>
    </w:r>
    <w:r w:rsidRPr="007941AA">
      <w:rPr>
        <w:rFonts w:ascii="Soberana Sans" w:hAnsi="Soberana Sans" w:cs="Arial"/>
        <w:color w:val="808080"/>
        <w:sz w:val="16"/>
        <w:szCs w:val="16"/>
      </w:rPr>
      <w:t>,</w:t>
    </w:r>
    <w:r>
      <w:rPr>
        <w:rFonts w:ascii="Soberana Sans" w:hAnsi="Soberana Sans" w:cs="Arial"/>
        <w:color w:val="808080"/>
        <w:sz w:val="16"/>
        <w:szCs w:val="16"/>
      </w:rPr>
      <w:t xml:space="preserve"> </w:t>
    </w:r>
    <w:r w:rsidRPr="007941AA">
      <w:rPr>
        <w:rFonts w:ascii="Soberana Sans" w:hAnsi="Soberana Sans" w:cs="Arial"/>
        <w:color w:val="808080"/>
        <w:sz w:val="16"/>
        <w:szCs w:val="16"/>
      </w:rPr>
      <w:t xml:space="preserve">c. p. 06300 </w:t>
    </w:r>
    <w:r w:rsidRPr="007941AA">
      <w:rPr>
        <w:rFonts w:ascii="Times New Roman" w:hAnsi="Times New Roman"/>
        <w:color w:val="808080"/>
        <w:sz w:val="16"/>
        <w:szCs w:val="16"/>
      </w:rPr>
      <w:t>│</w:t>
    </w:r>
    <w:r w:rsidRPr="007941AA">
      <w:rPr>
        <w:rFonts w:ascii="Soberana Sans" w:hAnsi="Soberana Sans" w:cs="Arial"/>
        <w:color w:val="808080"/>
        <w:sz w:val="16"/>
        <w:szCs w:val="16"/>
      </w:rPr>
      <w:t xml:space="preserve"> Tel. </w:t>
    </w:r>
    <w:r w:rsidRPr="007941AA">
      <w:rPr>
        <w:rFonts w:ascii="Soberana Sans" w:hAnsi="Soberana Sans"/>
        <w:b/>
        <w:bCs/>
        <w:color w:val="00B050"/>
        <w:sz w:val="16"/>
      </w:rPr>
      <w:t>MarcaSAT</w:t>
    </w:r>
    <w:r w:rsidRPr="007941AA">
      <w:rPr>
        <w:rFonts w:ascii="Soberana Sans" w:hAnsi="Soberana Sans"/>
        <w:b/>
        <w:bCs/>
        <w:color w:val="1F497D"/>
        <w:sz w:val="16"/>
      </w:rPr>
      <w:t>:</w:t>
    </w:r>
    <w:r w:rsidRPr="007941AA">
      <w:rPr>
        <w:rFonts w:ascii="Soberana Sans" w:hAnsi="Soberana Sans"/>
        <w:b/>
        <w:bCs/>
        <w:color w:val="00B050"/>
        <w:sz w:val="16"/>
      </w:rPr>
      <w:t xml:space="preserve"> 627 22 728</w:t>
    </w:r>
    <w:r w:rsidRPr="007941AA">
      <w:rPr>
        <w:rFonts w:ascii="Times New Roman" w:hAnsi="Times New Roman"/>
        <w:color w:val="808080"/>
        <w:sz w:val="16"/>
        <w:szCs w:val="16"/>
      </w:rPr>
      <w:t>│</w:t>
    </w:r>
    <w:r w:rsidRPr="007941AA">
      <w:rPr>
        <w:rFonts w:ascii="Soberana Sans" w:hAnsi="Soberana Sans" w:cs="Arial"/>
        <w:color w:val="808080"/>
        <w:sz w:val="16"/>
        <w:szCs w:val="16"/>
      </w:rPr>
      <w:t xml:space="preserve"> documento disponible en </w:t>
    </w:r>
    <w:hyperlink r:id="rId1" w:history="1">
      <w:r w:rsidRPr="000419D3">
        <w:rPr>
          <w:rStyle w:val="Hipervnculo"/>
          <w:rFonts w:ascii="Soberana Sans" w:hAnsi="Soberana Sans" w:cs="Arial"/>
          <w:b/>
          <w:sz w:val="16"/>
          <w:szCs w:val="16"/>
        </w:rPr>
        <w:t>www.sat.gob.mx</w:t>
      </w:r>
    </w:hyperlink>
  </w:p>
  <w:p w:rsidR="00517360" w:rsidRDefault="00517360" w:rsidP="00EB4772">
    <w:pPr>
      <w:pStyle w:val="Piedepgina"/>
      <w:jc w:val="right"/>
      <w:rPr>
        <w:color w:val="4F81BD" w:themeColor="accent1"/>
        <w:lang w:val="es-ES"/>
      </w:rPr>
    </w:pPr>
  </w:p>
  <w:p w:rsidR="00517360" w:rsidRDefault="00517360" w:rsidP="00EB4772">
    <w:pPr>
      <w:pStyle w:val="Piedepgina"/>
      <w:jc w:val="right"/>
      <w:rPr>
        <w:color w:val="4F81BD" w:themeColor="accent1"/>
      </w:rPr>
    </w:pPr>
    <w:r>
      <w:rPr>
        <w:color w:val="4F81BD" w:themeColor="accent1"/>
        <w:lang w:val="es-ES"/>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D52514" w:rsidRPr="00D52514">
      <w:rPr>
        <w:color w:val="4F81BD" w:themeColor="accent1"/>
        <w:lang w:val="es-ES"/>
      </w:rPr>
      <w:t>1</w:t>
    </w:r>
    <w:r>
      <w:rPr>
        <w:color w:val="4F81BD" w:themeColor="accent1"/>
      </w:rPr>
      <w:fldChar w:fldCharType="end"/>
    </w:r>
    <w:r>
      <w:rPr>
        <w:color w:val="4F81BD" w:themeColor="accent1"/>
        <w:lang w:val="es-ES"/>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D52514" w:rsidRPr="00D52514">
      <w:rPr>
        <w:color w:val="4F81BD" w:themeColor="accent1"/>
        <w:lang w:val="es-ES"/>
      </w:rPr>
      <w:t>4</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7C" w:rsidRDefault="004E5C7C">
      <w:pPr>
        <w:spacing w:after="0" w:line="240" w:lineRule="auto"/>
      </w:pPr>
      <w:r>
        <w:separator/>
      </w:r>
    </w:p>
  </w:footnote>
  <w:footnote w:type="continuationSeparator" w:id="0">
    <w:p w:rsidR="004E5C7C" w:rsidRDefault="004E5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360" w:rsidRDefault="00517360" w:rsidP="00517360">
    <w:pPr>
      <w:pStyle w:val="Encabezado"/>
      <w:ind w:left="-567"/>
      <w:jc w:val="center"/>
    </w:pPr>
    <w:r>
      <w:rPr>
        <w:lang w:eastAsia="es-MX"/>
      </w:rPr>
      <w:drawing>
        <wp:anchor distT="0" distB="0" distL="114300" distR="114300" simplePos="0" relativeHeight="251662336" behindDoc="0" locked="0" layoutInCell="1" allowOverlap="1" wp14:anchorId="113CAB6B" wp14:editId="5F88DA39">
          <wp:simplePos x="0" y="0"/>
          <wp:positionH relativeFrom="column">
            <wp:posOffset>3924300</wp:posOffset>
          </wp:positionH>
          <wp:positionV relativeFrom="paragraph">
            <wp:posOffset>-35560</wp:posOffset>
          </wp:positionV>
          <wp:extent cx="1955800" cy="523875"/>
          <wp:effectExtent l="0" t="0" r="6350" b="0"/>
          <wp:wrapNone/>
          <wp:docPr id="33" name="Imagen 3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rizontal"/>
                  <pic:cNvPicPr>
                    <a:picLocks noChangeAspect="1" noChangeArrowheads="1"/>
                  </pic:cNvPicPr>
                </pic:nvPicPr>
                <pic:blipFill>
                  <a:blip r:embed="rId1"/>
                  <a:srcRect/>
                  <a:stretch>
                    <a:fillRect/>
                  </a:stretch>
                </pic:blipFill>
                <pic:spPr bwMode="auto">
                  <a:xfrm>
                    <a:off x="0" y="0"/>
                    <a:ext cx="1955800" cy="523875"/>
                  </a:xfrm>
                  <a:prstGeom prst="rect">
                    <a:avLst/>
                  </a:prstGeom>
                  <a:noFill/>
                  <a:ln w="9525">
                    <a:noFill/>
                    <a:miter lim="800000"/>
                    <a:headEnd/>
                    <a:tailEnd/>
                  </a:ln>
                </pic:spPr>
              </pic:pic>
            </a:graphicData>
          </a:graphic>
        </wp:anchor>
      </w:drawing>
    </w:r>
    <w:r>
      <w:rPr>
        <w:lang w:eastAsia="es-MX"/>
      </w:rPr>
      <w:drawing>
        <wp:anchor distT="0" distB="0" distL="114300" distR="114300" simplePos="0" relativeHeight="251657216" behindDoc="0" locked="0" layoutInCell="1" allowOverlap="1" wp14:anchorId="202898F2" wp14:editId="50804664">
          <wp:simplePos x="0" y="0"/>
          <wp:positionH relativeFrom="column">
            <wp:posOffset>-349250</wp:posOffset>
          </wp:positionH>
          <wp:positionV relativeFrom="paragraph">
            <wp:posOffset>-34925</wp:posOffset>
          </wp:positionV>
          <wp:extent cx="1955800" cy="670560"/>
          <wp:effectExtent l="0" t="0" r="6350" b="0"/>
          <wp:wrapNone/>
          <wp:docPr id="34" name="Imagen 34"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CP_plantilla"/>
                  <pic:cNvPicPr>
                    <a:picLocks noChangeAspect="1" noChangeArrowheads="1"/>
                  </pic:cNvPicPr>
                </pic:nvPicPr>
                <pic:blipFill>
                  <a:blip r:embed="rId2"/>
                  <a:srcRect/>
                  <a:stretch>
                    <a:fillRect/>
                  </a:stretch>
                </pic:blipFill>
                <pic:spPr bwMode="auto">
                  <a:xfrm>
                    <a:off x="0" y="0"/>
                    <a:ext cx="1955800" cy="670560"/>
                  </a:xfrm>
                  <a:prstGeom prst="rect">
                    <a:avLst/>
                  </a:prstGeom>
                  <a:noFill/>
                  <a:ln w="9525">
                    <a:noFill/>
                    <a:miter lim="800000"/>
                    <a:headEnd/>
                    <a:tailEnd/>
                  </a:ln>
                </pic:spPr>
              </pic:pic>
            </a:graphicData>
          </a:graphic>
        </wp:anchor>
      </w:drawing>
    </w:r>
  </w:p>
  <w:p w:rsidR="00517360" w:rsidRDefault="00517360" w:rsidP="00517360">
    <w:pPr>
      <w:pStyle w:val="Encabezado"/>
      <w:ind w:left="-567"/>
      <w:jc w:val="center"/>
    </w:pPr>
  </w:p>
  <w:p w:rsidR="00517360" w:rsidRDefault="00517360" w:rsidP="00517360">
    <w:pPr>
      <w:pStyle w:val="Encabezado"/>
      <w:ind w:left="-567"/>
      <w:jc w:val="center"/>
    </w:pPr>
  </w:p>
  <w:p w:rsidR="00517360" w:rsidRDefault="00517360" w:rsidP="00517360">
    <w:pPr>
      <w:pStyle w:val="Encabezado"/>
      <w:ind w:left="-567"/>
      <w:jc w:val="center"/>
    </w:pPr>
  </w:p>
  <w:p w:rsidR="00517360" w:rsidRDefault="00517360" w:rsidP="00517360">
    <w:pPr>
      <w:pStyle w:val="Encabezado"/>
      <w:ind w:left="-567"/>
      <w:jc w:val="center"/>
    </w:pPr>
  </w:p>
  <w:p w:rsidR="00517360" w:rsidRPr="009C323D" w:rsidRDefault="00517360" w:rsidP="00517360">
    <w:pPr>
      <w:pStyle w:val="Encabezado"/>
      <w:ind w:left="-56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03F"/>
    <w:multiLevelType w:val="hybridMultilevel"/>
    <w:tmpl w:val="F9BA1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B427E"/>
    <w:multiLevelType w:val="hybridMultilevel"/>
    <w:tmpl w:val="3112F3B4"/>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15:restartNumberingAfterBreak="0">
    <w:nsid w:val="1ACC3B87"/>
    <w:multiLevelType w:val="hybridMultilevel"/>
    <w:tmpl w:val="F87C4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6A0890"/>
    <w:multiLevelType w:val="hybridMultilevel"/>
    <w:tmpl w:val="A30ED124"/>
    <w:lvl w:ilvl="0" w:tplc="CCE8927C">
      <w:start w:val="1"/>
      <w:numFmt w:val="bullet"/>
      <w:lvlText w:val=""/>
      <w:lvlJc w:val="left"/>
      <w:pPr>
        <w:tabs>
          <w:tab w:val="num" w:pos="720"/>
        </w:tabs>
        <w:ind w:left="720" w:hanging="360"/>
      </w:pPr>
      <w:rPr>
        <w:rFonts w:ascii="Wingdings" w:hAnsi="Wingdings" w:hint="default"/>
      </w:rPr>
    </w:lvl>
    <w:lvl w:ilvl="1" w:tplc="045A5600">
      <w:start w:val="1"/>
      <w:numFmt w:val="decimal"/>
      <w:lvlText w:val="%2."/>
      <w:lvlJc w:val="left"/>
      <w:pPr>
        <w:tabs>
          <w:tab w:val="num" w:pos="1440"/>
        </w:tabs>
        <w:ind w:left="1440" w:hanging="360"/>
      </w:pPr>
    </w:lvl>
    <w:lvl w:ilvl="2" w:tplc="D118201A">
      <w:start w:val="1"/>
      <w:numFmt w:val="decimal"/>
      <w:lvlText w:val="%3."/>
      <w:lvlJc w:val="left"/>
      <w:pPr>
        <w:tabs>
          <w:tab w:val="num" w:pos="2160"/>
        </w:tabs>
        <w:ind w:left="2160" w:hanging="360"/>
      </w:pPr>
    </w:lvl>
    <w:lvl w:ilvl="3" w:tplc="F8E2778C">
      <w:start w:val="1"/>
      <w:numFmt w:val="decimal"/>
      <w:lvlText w:val="%4."/>
      <w:lvlJc w:val="left"/>
      <w:pPr>
        <w:tabs>
          <w:tab w:val="num" w:pos="2880"/>
        </w:tabs>
        <w:ind w:left="2880" w:hanging="360"/>
      </w:pPr>
    </w:lvl>
    <w:lvl w:ilvl="4" w:tplc="AF5E29DE">
      <w:start w:val="1"/>
      <w:numFmt w:val="decimal"/>
      <w:lvlText w:val="%5."/>
      <w:lvlJc w:val="left"/>
      <w:pPr>
        <w:tabs>
          <w:tab w:val="num" w:pos="3600"/>
        </w:tabs>
        <w:ind w:left="3600" w:hanging="360"/>
      </w:pPr>
    </w:lvl>
    <w:lvl w:ilvl="5" w:tplc="89B0996A">
      <w:start w:val="1"/>
      <w:numFmt w:val="decimal"/>
      <w:lvlText w:val="%6."/>
      <w:lvlJc w:val="left"/>
      <w:pPr>
        <w:tabs>
          <w:tab w:val="num" w:pos="4320"/>
        </w:tabs>
        <w:ind w:left="4320" w:hanging="360"/>
      </w:pPr>
    </w:lvl>
    <w:lvl w:ilvl="6" w:tplc="12A0FCE0">
      <w:start w:val="1"/>
      <w:numFmt w:val="decimal"/>
      <w:lvlText w:val="%7."/>
      <w:lvlJc w:val="left"/>
      <w:pPr>
        <w:tabs>
          <w:tab w:val="num" w:pos="5040"/>
        </w:tabs>
        <w:ind w:left="5040" w:hanging="360"/>
      </w:pPr>
    </w:lvl>
    <w:lvl w:ilvl="7" w:tplc="9FBC766E">
      <w:start w:val="1"/>
      <w:numFmt w:val="decimal"/>
      <w:lvlText w:val="%8."/>
      <w:lvlJc w:val="left"/>
      <w:pPr>
        <w:tabs>
          <w:tab w:val="num" w:pos="5760"/>
        </w:tabs>
        <w:ind w:left="5760" w:hanging="360"/>
      </w:pPr>
    </w:lvl>
    <w:lvl w:ilvl="8" w:tplc="E47267B6">
      <w:start w:val="1"/>
      <w:numFmt w:val="decimal"/>
      <w:lvlText w:val="%9."/>
      <w:lvlJc w:val="left"/>
      <w:pPr>
        <w:tabs>
          <w:tab w:val="num" w:pos="6480"/>
        </w:tabs>
        <w:ind w:left="6480" w:hanging="360"/>
      </w:pPr>
    </w:lvl>
  </w:abstractNum>
  <w:abstractNum w:abstractNumId="4" w15:restartNumberingAfterBreak="0">
    <w:nsid w:val="56455D3F"/>
    <w:multiLevelType w:val="hybridMultilevel"/>
    <w:tmpl w:val="0CBA7898"/>
    <w:lvl w:ilvl="0" w:tplc="080A0001">
      <w:start w:val="1"/>
      <w:numFmt w:val="bullet"/>
      <w:lvlText w:val=""/>
      <w:lvlJc w:val="left"/>
      <w:pPr>
        <w:ind w:left="229" w:hanging="360"/>
      </w:pPr>
      <w:rPr>
        <w:rFonts w:ascii="Symbol" w:hAnsi="Symbol" w:hint="default"/>
      </w:rPr>
    </w:lvl>
    <w:lvl w:ilvl="1" w:tplc="080A0003" w:tentative="1">
      <w:start w:val="1"/>
      <w:numFmt w:val="bullet"/>
      <w:lvlText w:val="o"/>
      <w:lvlJc w:val="left"/>
      <w:pPr>
        <w:ind w:left="949" w:hanging="360"/>
      </w:pPr>
      <w:rPr>
        <w:rFonts w:ascii="Courier New" w:hAnsi="Courier New" w:cs="Courier New" w:hint="default"/>
      </w:rPr>
    </w:lvl>
    <w:lvl w:ilvl="2" w:tplc="080A0005" w:tentative="1">
      <w:start w:val="1"/>
      <w:numFmt w:val="bullet"/>
      <w:lvlText w:val=""/>
      <w:lvlJc w:val="left"/>
      <w:pPr>
        <w:ind w:left="1669" w:hanging="360"/>
      </w:pPr>
      <w:rPr>
        <w:rFonts w:ascii="Wingdings" w:hAnsi="Wingdings" w:hint="default"/>
      </w:rPr>
    </w:lvl>
    <w:lvl w:ilvl="3" w:tplc="080A0001" w:tentative="1">
      <w:start w:val="1"/>
      <w:numFmt w:val="bullet"/>
      <w:lvlText w:val=""/>
      <w:lvlJc w:val="left"/>
      <w:pPr>
        <w:ind w:left="2389" w:hanging="360"/>
      </w:pPr>
      <w:rPr>
        <w:rFonts w:ascii="Symbol" w:hAnsi="Symbol" w:hint="default"/>
      </w:rPr>
    </w:lvl>
    <w:lvl w:ilvl="4" w:tplc="080A0003" w:tentative="1">
      <w:start w:val="1"/>
      <w:numFmt w:val="bullet"/>
      <w:lvlText w:val="o"/>
      <w:lvlJc w:val="left"/>
      <w:pPr>
        <w:ind w:left="3109" w:hanging="360"/>
      </w:pPr>
      <w:rPr>
        <w:rFonts w:ascii="Courier New" w:hAnsi="Courier New" w:cs="Courier New" w:hint="default"/>
      </w:rPr>
    </w:lvl>
    <w:lvl w:ilvl="5" w:tplc="080A0005" w:tentative="1">
      <w:start w:val="1"/>
      <w:numFmt w:val="bullet"/>
      <w:lvlText w:val=""/>
      <w:lvlJc w:val="left"/>
      <w:pPr>
        <w:ind w:left="3829" w:hanging="360"/>
      </w:pPr>
      <w:rPr>
        <w:rFonts w:ascii="Wingdings" w:hAnsi="Wingdings" w:hint="default"/>
      </w:rPr>
    </w:lvl>
    <w:lvl w:ilvl="6" w:tplc="080A0001" w:tentative="1">
      <w:start w:val="1"/>
      <w:numFmt w:val="bullet"/>
      <w:lvlText w:val=""/>
      <w:lvlJc w:val="left"/>
      <w:pPr>
        <w:ind w:left="4549" w:hanging="360"/>
      </w:pPr>
      <w:rPr>
        <w:rFonts w:ascii="Symbol" w:hAnsi="Symbol" w:hint="default"/>
      </w:rPr>
    </w:lvl>
    <w:lvl w:ilvl="7" w:tplc="080A0003" w:tentative="1">
      <w:start w:val="1"/>
      <w:numFmt w:val="bullet"/>
      <w:lvlText w:val="o"/>
      <w:lvlJc w:val="left"/>
      <w:pPr>
        <w:ind w:left="5269" w:hanging="360"/>
      </w:pPr>
      <w:rPr>
        <w:rFonts w:ascii="Courier New" w:hAnsi="Courier New" w:cs="Courier New" w:hint="default"/>
      </w:rPr>
    </w:lvl>
    <w:lvl w:ilvl="8" w:tplc="080A0005" w:tentative="1">
      <w:start w:val="1"/>
      <w:numFmt w:val="bullet"/>
      <w:lvlText w:val=""/>
      <w:lvlJc w:val="left"/>
      <w:pPr>
        <w:ind w:left="5989" w:hanging="360"/>
      </w:pPr>
      <w:rPr>
        <w:rFonts w:ascii="Wingdings" w:hAnsi="Wingdings" w:hint="default"/>
      </w:rPr>
    </w:lvl>
  </w:abstractNum>
  <w:abstractNum w:abstractNumId="5" w15:restartNumberingAfterBreak="0">
    <w:nsid w:val="570E78CF"/>
    <w:multiLevelType w:val="hybridMultilevel"/>
    <w:tmpl w:val="F6C44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61"/>
    <w:rsid w:val="00007076"/>
    <w:rsid w:val="000102E4"/>
    <w:rsid w:val="00012181"/>
    <w:rsid w:val="00022570"/>
    <w:rsid w:val="0002492C"/>
    <w:rsid w:val="00027127"/>
    <w:rsid w:val="000307AB"/>
    <w:rsid w:val="00030C97"/>
    <w:rsid w:val="0005716C"/>
    <w:rsid w:val="00066FAD"/>
    <w:rsid w:val="00080761"/>
    <w:rsid w:val="00082A5D"/>
    <w:rsid w:val="000C41BE"/>
    <w:rsid w:val="000C686C"/>
    <w:rsid w:val="000E1384"/>
    <w:rsid w:val="000E1536"/>
    <w:rsid w:val="000E664C"/>
    <w:rsid w:val="00123383"/>
    <w:rsid w:val="00141FEB"/>
    <w:rsid w:val="001452F3"/>
    <w:rsid w:val="001622C0"/>
    <w:rsid w:val="0017504A"/>
    <w:rsid w:val="00177326"/>
    <w:rsid w:val="0019473D"/>
    <w:rsid w:val="00196B49"/>
    <w:rsid w:val="001C0DCE"/>
    <w:rsid w:val="001C105F"/>
    <w:rsid w:val="001C3B87"/>
    <w:rsid w:val="001D0332"/>
    <w:rsid w:val="001E04C5"/>
    <w:rsid w:val="001F613E"/>
    <w:rsid w:val="001F7401"/>
    <w:rsid w:val="00201C40"/>
    <w:rsid w:val="0020634A"/>
    <w:rsid w:val="00206558"/>
    <w:rsid w:val="0021573E"/>
    <w:rsid w:val="0021721A"/>
    <w:rsid w:val="00230ED6"/>
    <w:rsid w:val="0024479E"/>
    <w:rsid w:val="00261CAE"/>
    <w:rsid w:val="00273D8E"/>
    <w:rsid w:val="00274A3D"/>
    <w:rsid w:val="00274BCA"/>
    <w:rsid w:val="002912F6"/>
    <w:rsid w:val="00295E81"/>
    <w:rsid w:val="002A0792"/>
    <w:rsid w:val="002A2FC8"/>
    <w:rsid w:val="002C621A"/>
    <w:rsid w:val="002C62B1"/>
    <w:rsid w:val="00306A0B"/>
    <w:rsid w:val="003239C4"/>
    <w:rsid w:val="003508E1"/>
    <w:rsid w:val="00370843"/>
    <w:rsid w:val="00376798"/>
    <w:rsid w:val="00382A27"/>
    <w:rsid w:val="003A33CC"/>
    <w:rsid w:val="003B7188"/>
    <w:rsid w:val="003D2097"/>
    <w:rsid w:val="003E70C4"/>
    <w:rsid w:val="003F057D"/>
    <w:rsid w:val="003F7353"/>
    <w:rsid w:val="00406DEA"/>
    <w:rsid w:val="00413824"/>
    <w:rsid w:val="00425FFF"/>
    <w:rsid w:val="00430C87"/>
    <w:rsid w:val="004333F3"/>
    <w:rsid w:val="0044164F"/>
    <w:rsid w:val="0044717D"/>
    <w:rsid w:val="0046246B"/>
    <w:rsid w:val="004718A5"/>
    <w:rsid w:val="00472961"/>
    <w:rsid w:val="004729B2"/>
    <w:rsid w:val="004B0F71"/>
    <w:rsid w:val="004C6145"/>
    <w:rsid w:val="004C7D2D"/>
    <w:rsid w:val="004E5C7C"/>
    <w:rsid w:val="004F3A93"/>
    <w:rsid w:val="005004D3"/>
    <w:rsid w:val="005031AD"/>
    <w:rsid w:val="00517360"/>
    <w:rsid w:val="00524906"/>
    <w:rsid w:val="005269E2"/>
    <w:rsid w:val="00526D17"/>
    <w:rsid w:val="00531255"/>
    <w:rsid w:val="005344D8"/>
    <w:rsid w:val="00570A44"/>
    <w:rsid w:val="005740A9"/>
    <w:rsid w:val="005835E6"/>
    <w:rsid w:val="00594C61"/>
    <w:rsid w:val="005953DE"/>
    <w:rsid w:val="00595D82"/>
    <w:rsid w:val="005A2F5D"/>
    <w:rsid w:val="005A5494"/>
    <w:rsid w:val="005F3709"/>
    <w:rsid w:val="005F3C69"/>
    <w:rsid w:val="00611EF9"/>
    <w:rsid w:val="00631BD1"/>
    <w:rsid w:val="00635449"/>
    <w:rsid w:val="006374AA"/>
    <w:rsid w:val="00666D95"/>
    <w:rsid w:val="006833B4"/>
    <w:rsid w:val="00684840"/>
    <w:rsid w:val="006876A0"/>
    <w:rsid w:val="006920CF"/>
    <w:rsid w:val="00695418"/>
    <w:rsid w:val="006A013D"/>
    <w:rsid w:val="006A52B1"/>
    <w:rsid w:val="006A54E0"/>
    <w:rsid w:val="006B2433"/>
    <w:rsid w:val="006B558D"/>
    <w:rsid w:val="006C0AB8"/>
    <w:rsid w:val="006C6C5C"/>
    <w:rsid w:val="006C6CE0"/>
    <w:rsid w:val="006D1E1D"/>
    <w:rsid w:val="006F0EAE"/>
    <w:rsid w:val="006F5ABD"/>
    <w:rsid w:val="00721816"/>
    <w:rsid w:val="007276F4"/>
    <w:rsid w:val="007313B5"/>
    <w:rsid w:val="00735D12"/>
    <w:rsid w:val="00745363"/>
    <w:rsid w:val="00752F9A"/>
    <w:rsid w:val="00767059"/>
    <w:rsid w:val="00770719"/>
    <w:rsid w:val="00775561"/>
    <w:rsid w:val="00775C87"/>
    <w:rsid w:val="00780A62"/>
    <w:rsid w:val="007845CA"/>
    <w:rsid w:val="00786EAF"/>
    <w:rsid w:val="00787062"/>
    <w:rsid w:val="00797B89"/>
    <w:rsid w:val="007D44EB"/>
    <w:rsid w:val="007D7AAA"/>
    <w:rsid w:val="007F1EE9"/>
    <w:rsid w:val="007F70C0"/>
    <w:rsid w:val="00813426"/>
    <w:rsid w:val="0082062E"/>
    <w:rsid w:val="0082251D"/>
    <w:rsid w:val="00825059"/>
    <w:rsid w:val="00841257"/>
    <w:rsid w:val="00881E59"/>
    <w:rsid w:val="00882574"/>
    <w:rsid w:val="008B3844"/>
    <w:rsid w:val="008C2309"/>
    <w:rsid w:val="00904A4E"/>
    <w:rsid w:val="00951EB2"/>
    <w:rsid w:val="009624AB"/>
    <w:rsid w:val="00964992"/>
    <w:rsid w:val="00992D0F"/>
    <w:rsid w:val="009A6252"/>
    <w:rsid w:val="009B3DE6"/>
    <w:rsid w:val="009C07A3"/>
    <w:rsid w:val="009C19DD"/>
    <w:rsid w:val="009D14A0"/>
    <w:rsid w:val="009D184D"/>
    <w:rsid w:val="009D4E67"/>
    <w:rsid w:val="009D56B2"/>
    <w:rsid w:val="009D7686"/>
    <w:rsid w:val="009E2926"/>
    <w:rsid w:val="009E5DE2"/>
    <w:rsid w:val="00A05CC2"/>
    <w:rsid w:val="00A16195"/>
    <w:rsid w:val="00A16536"/>
    <w:rsid w:val="00A3365D"/>
    <w:rsid w:val="00A36E28"/>
    <w:rsid w:val="00A378AB"/>
    <w:rsid w:val="00A44AFC"/>
    <w:rsid w:val="00A5049B"/>
    <w:rsid w:val="00A75090"/>
    <w:rsid w:val="00A816CA"/>
    <w:rsid w:val="00A90D19"/>
    <w:rsid w:val="00AA0A50"/>
    <w:rsid w:val="00AD1D2A"/>
    <w:rsid w:val="00AD23A4"/>
    <w:rsid w:val="00AE4DCE"/>
    <w:rsid w:val="00AF6F1A"/>
    <w:rsid w:val="00B22A61"/>
    <w:rsid w:val="00B22FA7"/>
    <w:rsid w:val="00B34F1F"/>
    <w:rsid w:val="00B3632F"/>
    <w:rsid w:val="00B42D06"/>
    <w:rsid w:val="00B440C2"/>
    <w:rsid w:val="00B6572D"/>
    <w:rsid w:val="00B66C4E"/>
    <w:rsid w:val="00B90FED"/>
    <w:rsid w:val="00B91B15"/>
    <w:rsid w:val="00B943F3"/>
    <w:rsid w:val="00BA5C7B"/>
    <w:rsid w:val="00BA5D97"/>
    <w:rsid w:val="00BB3719"/>
    <w:rsid w:val="00BB6D4C"/>
    <w:rsid w:val="00BC1486"/>
    <w:rsid w:val="00BD0998"/>
    <w:rsid w:val="00BF02FF"/>
    <w:rsid w:val="00BF3008"/>
    <w:rsid w:val="00C00441"/>
    <w:rsid w:val="00C03D0A"/>
    <w:rsid w:val="00C066CE"/>
    <w:rsid w:val="00C1478B"/>
    <w:rsid w:val="00C17D4C"/>
    <w:rsid w:val="00C45468"/>
    <w:rsid w:val="00C47CDF"/>
    <w:rsid w:val="00C53BD0"/>
    <w:rsid w:val="00C6207C"/>
    <w:rsid w:val="00C6745D"/>
    <w:rsid w:val="00C700DD"/>
    <w:rsid w:val="00C95A0B"/>
    <w:rsid w:val="00CB38F2"/>
    <w:rsid w:val="00CD566E"/>
    <w:rsid w:val="00CE1D71"/>
    <w:rsid w:val="00CE5CA7"/>
    <w:rsid w:val="00D04A18"/>
    <w:rsid w:val="00D06DB9"/>
    <w:rsid w:val="00D202C9"/>
    <w:rsid w:val="00D37639"/>
    <w:rsid w:val="00D43DDB"/>
    <w:rsid w:val="00D47E0F"/>
    <w:rsid w:val="00D47F63"/>
    <w:rsid w:val="00D50F83"/>
    <w:rsid w:val="00D52514"/>
    <w:rsid w:val="00D626A1"/>
    <w:rsid w:val="00D6449F"/>
    <w:rsid w:val="00D6528B"/>
    <w:rsid w:val="00D70281"/>
    <w:rsid w:val="00D7528A"/>
    <w:rsid w:val="00D76088"/>
    <w:rsid w:val="00D763CB"/>
    <w:rsid w:val="00D769B4"/>
    <w:rsid w:val="00D76FBD"/>
    <w:rsid w:val="00D801D8"/>
    <w:rsid w:val="00D94395"/>
    <w:rsid w:val="00D94B6C"/>
    <w:rsid w:val="00DA0027"/>
    <w:rsid w:val="00DA58D7"/>
    <w:rsid w:val="00DB4689"/>
    <w:rsid w:val="00DC2F7B"/>
    <w:rsid w:val="00DD7A34"/>
    <w:rsid w:val="00DE547A"/>
    <w:rsid w:val="00DF7F94"/>
    <w:rsid w:val="00E16752"/>
    <w:rsid w:val="00E17CDB"/>
    <w:rsid w:val="00E23934"/>
    <w:rsid w:val="00E31A7A"/>
    <w:rsid w:val="00E44A6A"/>
    <w:rsid w:val="00E466D4"/>
    <w:rsid w:val="00E65F7F"/>
    <w:rsid w:val="00E718DD"/>
    <w:rsid w:val="00E823CB"/>
    <w:rsid w:val="00E942F2"/>
    <w:rsid w:val="00EB4772"/>
    <w:rsid w:val="00EB6AF8"/>
    <w:rsid w:val="00EF2C22"/>
    <w:rsid w:val="00EF4D79"/>
    <w:rsid w:val="00EF7CD7"/>
    <w:rsid w:val="00F04B79"/>
    <w:rsid w:val="00F20791"/>
    <w:rsid w:val="00F21095"/>
    <w:rsid w:val="00F30EC0"/>
    <w:rsid w:val="00F44AC6"/>
    <w:rsid w:val="00F50F4C"/>
    <w:rsid w:val="00F827F7"/>
    <w:rsid w:val="00F837A1"/>
    <w:rsid w:val="00FC7B99"/>
    <w:rsid w:val="00FE10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C1D5B"/>
  <w15:docId w15:val="{B6EEA493-1CFB-44CB-99C5-BAEC82DB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61"/>
    <w:rPr>
      <w:rFonts w:ascii="Calibri" w:eastAsia="Calibri" w:hAnsi="Calibri" w:cs="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561"/>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75561"/>
    <w:rPr>
      <w:rFonts w:ascii="Calibri" w:eastAsia="Calibri" w:hAnsi="Calibri" w:cs="Times New Roman"/>
      <w:noProof/>
      <w:sz w:val="20"/>
      <w:szCs w:val="20"/>
    </w:rPr>
  </w:style>
  <w:style w:type="paragraph" w:styleId="Piedepgina">
    <w:name w:val="footer"/>
    <w:basedOn w:val="Normal"/>
    <w:link w:val="PiedepginaCar"/>
    <w:uiPriority w:val="99"/>
    <w:unhideWhenUsed/>
    <w:rsid w:val="00775561"/>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75561"/>
    <w:rPr>
      <w:rFonts w:ascii="Calibri" w:eastAsia="Calibri" w:hAnsi="Calibri" w:cs="Times New Roman"/>
      <w:noProof/>
      <w:sz w:val="20"/>
      <w:szCs w:val="20"/>
    </w:rPr>
  </w:style>
  <w:style w:type="character" w:styleId="Hipervnculo">
    <w:name w:val="Hyperlink"/>
    <w:uiPriority w:val="99"/>
    <w:unhideWhenUsed/>
    <w:rsid w:val="00775561"/>
    <w:rPr>
      <w:color w:val="0000FF"/>
      <w:u w:val="single"/>
    </w:rPr>
  </w:style>
  <w:style w:type="paragraph" w:styleId="Prrafodelista">
    <w:name w:val="List Paragraph"/>
    <w:basedOn w:val="Normal"/>
    <w:uiPriority w:val="34"/>
    <w:qFormat/>
    <w:rsid w:val="00775561"/>
    <w:pPr>
      <w:spacing w:after="0" w:line="240" w:lineRule="auto"/>
      <w:ind w:left="720"/>
      <w:contextualSpacing/>
    </w:pPr>
    <w:rPr>
      <w:rFonts w:ascii="Cambria" w:eastAsia="Times New Roman" w:hAnsi="Cambria"/>
      <w:noProof w:val="0"/>
      <w:sz w:val="24"/>
      <w:szCs w:val="24"/>
      <w:lang w:val="es-ES_tradnl" w:eastAsia="es-ES"/>
    </w:rPr>
  </w:style>
  <w:style w:type="table" w:styleId="Listaclara-nfasis1">
    <w:name w:val="Light List Accent 1"/>
    <w:basedOn w:val="Tablanormal"/>
    <w:uiPriority w:val="61"/>
    <w:rsid w:val="00B90F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globo">
    <w:name w:val="Balloon Text"/>
    <w:basedOn w:val="Normal"/>
    <w:link w:val="TextodegloboCar"/>
    <w:uiPriority w:val="99"/>
    <w:semiHidden/>
    <w:unhideWhenUsed/>
    <w:rsid w:val="00B90F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FED"/>
    <w:rPr>
      <w:rFonts w:ascii="Tahoma" w:eastAsia="Calibri" w:hAnsi="Tahoma" w:cs="Tahoma"/>
      <w:noProof/>
      <w:sz w:val="16"/>
      <w:szCs w:val="16"/>
    </w:rPr>
  </w:style>
  <w:style w:type="table" w:styleId="Tablaconcuadrcula">
    <w:name w:val="Table Grid"/>
    <w:basedOn w:val="Tablanormal"/>
    <w:uiPriority w:val="59"/>
    <w:rsid w:val="00B9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E31A7A"/>
    <w:pPr>
      <w:spacing w:after="0" w:line="240" w:lineRule="auto"/>
    </w:pPr>
    <w:rPr>
      <w:rFonts w:ascii="Times New Roman" w:eastAsiaTheme="minorHAnsi" w:hAnsi="Times New Roman"/>
      <w:noProof w:val="0"/>
      <w:sz w:val="24"/>
      <w:szCs w:val="24"/>
      <w:lang w:eastAsia="es-MX"/>
    </w:rPr>
  </w:style>
  <w:style w:type="paragraph" w:styleId="Textosinformato">
    <w:name w:val="Plain Text"/>
    <w:basedOn w:val="Normal"/>
    <w:link w:val="TextosinformatoCar"/>
    <w:rsid w:val="0005716C"/>
    <w:pPr>
      <w:spacing w:after="0" w:line="240" w:lineRule="auto"/>
    </w:pPr>
    <w:rPr>
      <w:rFonts w:ascii="Courier New" w:eastAsia="Times New Roman" w:hAnsi="Courier New" w:cs="Courier New"/>
      <w:noProof w:val="0"/>
      <w:sz w:val="20"/>
      <w:szCs w:val="20"/>
      <w:lang w:val="es-ES" w:eastAsia="es-ES"/>
    </w:rPr>
  </w:style>
  <w:style w:type="character" w:customStyle="1" w:styleId="TextosinformatoCar">
    <w:name w:val="Texto sin formato Car"/>
    <w:basedOn w:val="Fuentedeprrafopredeter"/>
    <w:link w:val="Textosinformato"/>
    <w:rsid w:val="0005716C"/>
    <w:rPr>
      <w:rFonts w:ascii="Courier New" w:eastAsia="Times New Roman" w:hAnsi="Courier New" w:cs="Courier New"/>
      <w:sz w:val="20"/>
      <w:szCs w:val="20"/>
      <w:lang w:val="es-ES" w:eastAsia="es-ES"/>
    </w:rPr>
  </w:style>
  <w:style w:type="paragraph" w:customStyle="1" w:styleId="Texto">
    <w:name w:val="Texto"/>
    <w:aliases w:val="independiente,independiente Car Car Car"/>
    <w:basedOn w:val="Normal"/>
    <w:link w:val="TextoCar"/>
    <w:qFormat/>
    <w:rsid w:val="0005716C"/>
    <w:pPr>
      <w:spacing w:after="101" w:line="216" w:lineRule="exact"/>
      <w:ind w:firstLine="288"/>
      <w:jc w:val="both"/>
    </w:pPr>
    <w:rPr>
      <w:rFonts w:ascii="Arial" w:eastAsia="Times New Roman" w:hAnsi="Arial" w:cs="Arial"/>
      <w:noProof w:val="0"/>
      <w:sz w:val="18"/>
      <w:szCs w:val="18"/>
      <w:lang w:val="es-ES" w:eastAsia="es-ES"/>
    </w:rPr>
  </w:style>
  <w:style w:type="paragraph" w:customStyle="1" w:styleId="texto0">
    <w:name w:val="texto"/>
    <w:basedOn w:val="Normal"/>
    <w:rsid w:val="0005716C"/>
    <w:pPr>
      <w:spacing w:after="101" w:line="216" w:lineRule="atLeast"/>
      <w:ind w:firstLine="288"/>
      <w:jc w:val="both"/>
    </w:pPr>
    <w:rPr>
      <w:rFonts w:ascii="Arial" w:eastAsia="Times New Roman" w:hAnsi="Arial" w:cs="Arial"/>
      <w:noProof w:val="0"/>
      <w:sz w:val="18"/>
      <w:szCs w:val="20"/>
      <w:lang w:val="en-GB" w:eastAsia="es-MX"/>
    </w:rPr>
  </w:style>
  <w:style w:type="paragraph" w:customStyle="1" w:styleId="pcsnuminc">
    <w:name w:val="pcsnuminc"/>
    <w:basedOn w:val="Normal"/>
    <w:rsid w:val="0005716C"/>
    <w:pPr>
      <w:tabs>
        <w:tab w:val="right" w:leader="dot" w:pos="7470"/>
      </w:tabs>
      <w:spacing w:before="20" w:after="0" w:line="240" w:lineRule="exact"/>
      <w:ind w:left="1710" w:right="1728" w:hanging="360"/>
      <w:jc w:val="both"/>
    </w:pPr>
    <w:rPr>
      <w:rFonts w:ascii="Univers (W1)" w:eastAsia="Times New Roman" w:hAnsi="Univers (W1)" w:cs="Univers (W1)"/>
      <w:noProof w:val="0"/>
      <w:sz w:val="18"/>
      <w:szCs w:val="20"/>
      <w:lang w:eastAsia="es-MX"/>
    </w:rPr>
  </w:style>
  <w:style w:type="character" w:customStyle="1" w:styleId="TextoCar">
    <w:name w:val="Texto Car"/>
    <w:link w:val="Texto"/>
    <w:locked/>
    <w:rsid w:val="00611EF9"/>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5201">
      <w:bodyDiv w:val="1"/>
      <w:marLeft w:val="0"/>
      <w:marRight w:val="0"/>
      <w:marTop w:val="0"/>
      <w:marBottom w:val="0"/>
      <w:divBdr>
        <w:top w:val="none" w:sz="0" w:space="0" w:color="auto"/>
        <w:left w:val="none" w:sz="0" w:space="0" w:color="auto"/>
        <w:bottom w:val="none" w:sz="0" w:space="0" w:color="auto"/>
        <w:right w:val="none" w:sz="0" w:space="0" w:color="auto"/>
      </w:divBdr>
      <w:divsChild>
        <w:div w:id="1959146116">
          <w:marLeft w:val="0"/>
          <w:marRight w:val="0"/>
          <w:marTop w:val="0"/>
          <w:marBottom w:val="0"/>
          <w:divBdr>
            <w:top w:val="none" w:sz="0" w:space="0" w:color="auto"/>
            <w:left w:val="none" w:sz="0" w:space="0" w:color="auto"/>
            <w:bottom w:val="none" w:sz="0" w:space="0" w:color="auto"/>
            <w:right w:val="none" w:sz="0" w:space="0" w:color="auto"/>
          </w:divBdr>
        </w:div>
      </w:divsChild>
    </w:div>
    <w:div w:id="169149517">
      <w:bodyDiv w:val="1"/>
      <w:marLeft w:val="0"/>
      <w:marRight w:val="0"/>
      <w:marTop w:val="0"/>
      <w:marBottom w:val="0"/>
      <w:divBdr>
        <w:top w:val="none" w:sz="0" w:space="0" w:color="auto"/>
        <w:left w:val="none" w:sz="0" w:space="0" w:color="auto"/>
        <w:bottom w:val="none" w:sz="0" w:space="0" w:color="auto"/>
        <w:right w:val="none" w:sz="0" w:space="0" w:color="auto"/>
      </w:divBdr>
    </w:div>
    <w:div w:id="231545993">
      <w:bodyDiv w:val="1"/>
      <w:marLeft w:val="0"/>
      <w:marRight w:val="0"/>
      <w:marTop w:val="0"/>
      <w:marBottom w:val="0"/>
      <w:divBdr>
        <w:top w:val="none" w:sz="0" w:space="0" w:color="auto"/>
        <w:left w:val="none" w:sz="0" w:space="0" w:color="auto"/>
        <w:bottom w:val="none" w:sz="0" w:space="0" w:color="auto"/>
        <w:right w:val="none" w:sz="0" w:space="0" w:color="auto"/>
      </w:divBdr>
    </w:div>
    <w:div w:id="284820359">
      <w:bodyDiv w:val="1"/>
      <w:marLeft w:val="0"/>
      <w:marRight w:val="0"/>
      <w:marTop w:val="0"/>
      <w:marBottom w:val="0"/>
      <w:divBdr>
        <w:top w:val="none" w:sz="0" w:space="0" w:color="auto"/>
        <w:left w:val="none" w:sz="0" w:space="0" w:color="auto"/>
        <w:bottom w:val="none" w:sz="0" w:space="0" w:color="auto"/>
        <w:right w:val="none" w:sz="0" w:space="0" w:color="auto"/>
      </w:divBdr>
    </w:div>
    <w:div w:id="289480967">
      <w:bodyDiv w:val="1"/>
      <w:marLeft w:val="0"/>
      <w:marRight w:val="0"/>
      <w:marTop w:val="0"/>
      <w:marBottom w:val="0"/>
      <w:divBdr>
        <w:top w:val="none" w:sz="0" w:space="0" w:color="auto"/>
        <w:left w:val="none" w:sz="0" w:space="0" w:color="auto"/>
        <w:bottom w:val="none" w:sz="0" w:space="0" w:color="auto"/>
        <w:right w:val="none" w:sz="0" w:space="0" w:color="auto"/>
      </w:divBdr>
    </w:div>
    <w:div w:id="370106170">
      <w:bodyDiv w:val="1"/>
      <w:marLeft w:val="0"/>
      <w:marRight w:val="0"/>
      <w:marTop w:val="0"/>
      <w:marBottom w:val="0"/>
      <w:divBdr>
        <w:top w:val="none" w:sz="0" w:space="0" w:color="auto"/>
        <w:left w:val="none" w:sz="0" w:space="0" w:color="auto"/>
        <w:bottom w:val="none" w:sz="0" w:space="0" w:color="auto"/>
        <w:right w:val="none" w:sz="0" w:space="0" w:color="auto"/>
      </w:divBdr>
    </w:div>
    <w:div w:id="442531122">
      <w:bodyDiv w:val="1"/>
      <w:marLeft w:val="0"/>
      <w:marRight w:val="0"/>
      <w:marTop w:val="0"/>
      <w:marBottom w:val="0"/>
      <w:divBdr>
        <w:top w:val="none" w:sz="0" w:space="0" w:color="auto"/>
        <w:left w:val="none" w:sz="0" w:space="0" w:color="auto"/>
        <w:bottom w:val="none" w:sz="0" w:space="0" w:color="auto"/>
        <w:right w:val="none" w:sz="0" w:space="0" w:color="auto"/>
      </w:divBdr>
    </w:div>
    <w:div w:id="560822193">
      <w:bodyDiv w:val="1"/>
      <w:marLeft w:val="0"/>
      <w:marRight w:val="0"/>
      <w:marTop w:val="0"/>
      <w:marBottom w:val="0"/>
      <w:divBdr>
        <w:top w:val="none" w:sz="0" w:space="0" w:color="auto"/>
        <w:left w:val="none" w:sz="0" w:space="0" w:color="auto"/>
        <w:bottom w:val="none" w:sz="0" w:space="0" w:color="auto"/>
        <w:right w:val="none" w:sz="0" w:space="0" w:color="auto"/>
      </w:divBdr>
    </w:div>
    <w:div w:id="663357530">
      <w:bodyDiv w:val="1"/>
      <w:marLeft w:val="0"/>
      <w:marRight w:val="0"/>
      <w:marTop w:val="0"/>
      <w:marBottom w:val="0"/>
      <w:divBdr>
        <w:top w:val="none" w:sz="0" w:space="0" w:color="auto"/>
        <w:left w:val="none" w:sz="0" w:space="0" w:color="auto"/>
        <w:bottom w:val="none" w:sz="0" w:space="0" w:color="auto"/>
        <w:right w:val="none" w:sz="0" w:space="0" w:color="auto"/>
      </w:divBdr>
    </w:div>
    <w:div w:id="679628414">
      <w:bodyDiv w:val="1"/>
      <w:marLeft w:val="0"/>
      <w:marRight w:val="0"/>
      <w:marTop w:val="0"/>
      <w:marBottom w:val="0"/>
      <w:divBdr>
        <w:top w:val="none" w:sz="0" w:space="0" w:color="auto"/>
        <w:left w:val="none" w:sz="0" w:space="0" w:color="auto"/>
        <w:bottom w:val="none" w:sz="0" w:space="0" w:color="auto"/>
        <w:right w:val="none" w:sz="0" w:space="0" w:color="auto"/>
      </w:divBdr>
    </w:div>
    <w:div w:id="701438107">
      <w:bodyDiv w:val="1"/>
      <w:marLeft w:val="0"/>
      <w:marRight w:val="0"/>
      <w:marTop w:val="0"/>
      <w:marBottom w:val="0"/>
      <w:divBdr>
        <w:top w:val="none" w:sz="0" w:space="0" w:color="auto"/>
        <w:left w:val="none" w:sz="0" w:space="0" w:color="auto"/>
        <w:bottom w:val="none" w:sz="0" w:space="0" w:color="auto"/>
        <w:right w:val="none" w:sz="0" w:space="0" w:color="auto"/>
      </w:divBdr>
    </w:div>
    <w:div w:id="815731410">
      <w:bodyDiv w:val="1"/>
      <w:marLeft w:val="0"/>
      <w:marRight w:val="0"/>
      <w:marTop w:val="0"/>
      <w:marBottom w:val="0"/>
      <w:divBdr>
        <w:top w:val="none" w:sz="0" w:space="0" w:color="auto"/>
        <w:left w:val="none" w:sz="0" w:space="0" w:color="auto"/>
        <w:bottom w:val="none" w:sz="0" w:space="0" w:color="auto"/>
        <w:right w:val="none" w:sz="0" w:space="0" w:color="auto"/>
      </w:divBdr>
    </w:div>
    <w:div w:id="885604343">
      <w:bodyDiv w:val="1"/>
      <w:marLeft w:val="0"/>
      <w:marRight w:val="0"/>
      <w:marTop w:val="0"/>
      <w:marBottom w:val="0"/>
      <w:divBdr>
        <w:top w:val="none" w:sz="0" w:space="0" w:color="auto"/>
        <w:left w:val="none" w:sz="0" w:space="0" w:color="auto"/>
        <w:bottom w:val="none" w:sz="0" w:space="0" w:color="auto"/>
        <w:right w:val="none" w:sz="0" w:space="0" w:color="auto"/>
      </w:divBdr>
    </w:div>
    <w:div w:id="893125120">
      <w:bodyDiv w:val="1"/>
      <w:marLeft w:val="0"/>
      <w:marRight w:val="0"/>
      <w:marTop w:val="0"/>
      <w:marBottom w:val="0"/>
      <w:divBdr>
        <w:top w:val="none" w:sz="0" w:space="0" w:color="auto"/>
        <w:left w:val="none" w:sz="0" w:space="0" w:color="auto"/>
        <w:bottom w:val="none" w:sz="0" w:space="0" w:color="auto"/>
        <w:right w:val="none" w:sz="0" w:space="0" w:color="auto"/>
      </w:divBdr>
    </w:div>
    <w:div w:id="895581371">
      <w:bodyDiv w:val="1"/>
      <w:marLeft w:val="0"/>
      <w:marRight w:val="0"/>
      <w:marTop w:val="0"/>
      <w:marBottom w:val="0"/>
      <w:divBdr>
        <w:top w:val="none" w:sz="0" w:space="0" w:color="auto"/>
        <w:left w:val="none" w:sz="0" w:space="0" w:color="auto"/>
        <w:bottom w:val="none" w:sz="0" w:space="0" w:color="auto"/>
        <w:right w:val="none" w:sz="0" w:space="0" w:color="auto"/>
      </w:divBdr>
    </w:div>
    <w:div w:id="1002899457">
      <w:bodyDiv w:val="1"/>
      <w:marLeft w:val="0"/>
      <w:marRight w:val="0"/>
      <w:marTop w:val="0"/>
      <w:marBottom w:val="0"/>
      <w:divBdr>
        <w:top w:val="none" w:sz="0" w:space="0" w:color="auto"/>
        <w:left w:val="none" w:sz="0" w:space="0" w:color="auto"/>
        <w:bottom w:val="none" w:sz="0" w:space="0" w:color="auto"/>
        <w:right w:val="none" w:sz="0" w:space="0" w:color="auto"/>
      </w:divBdr>
    </w:div>
    <w:div w:id="1075392177">
      <w:bodyDiv w:val="1"/>
      <w:marLeft w:val="0"/>
      <w:marRight w:val="0"/>
      <w:marTop w:val="0"/>
      <w:marBottom w:val="0"/>
      <w:divBdr>
        <w:top w:val="none" w:sz="0" w:space="0" w:color="auto"/>
        <w:left w:val="none" w:sz="0" w:space="0" w:color="auto"/>
        <w:bottom w:val="none" w:sz="0" w:space="0" w:color="auto"/>
        <w:right w:val="none" w:sz="0" w:space="0" w:color="auto"/>
      </w:divBdr>
    </w:div>
    <w:div w:id="1124933254">
      <w:bodyDiv w:val="1"/>
      <w:marLeft w:val="0"/>
      <w:marRight w:val="0"/>
      <w:marTop w:val="0"/>
      <w:marBottom w:val="0"/>
      <w:divBdr>
        <w:top w:val="none" w:sz="0" w:space="0" w:color="auto"/>
        <w:left w:val="none" w:sz="0" w:space="0" w:color="auto"/>
        <w:bottom w:val="none" w:sz="0" w:space="0" w:color="auto"/>
        <w:right w:val="none" w:sz="0" w:space="0" w:color="auto"/>
      </w:divBdr>
    </w:div>
    <w:div w:id="1187060674">
      <w:bodyDiv w:val="1"/>
      <w:marLeft w:val="0"/>
      <w:marRight w:val="0"/>
      <w:marTop w:val="0"/>
      <w:marBottom w:val="0"/>
      <w:divBdr>
        <w:top w:val="none" w:sz="0" w:space="0" w:color="auto"/>
        <w:left w:val="none" w:sz="0" w:space="0" w:color="auto"/>
        <w:bottom w:val="none" w:sz="0" w:space="0" w:color="auto"/>
        <w:right w:val="none" w:sz="0" w:space="0" w:color="auto"/>
      </w:divBdr>
    </w:div>
    <w:div w:id="1223640549">
      <w:bodyDiv w:val="1"/>
      <w:marLeft w:val="0"/>
      <w:marRight w:val="0"/>
      <w:marTop w:val="0"/>
      <w:marBottom w:val="0"/>
      <w:divBdr>
        <w:top w:val="none" w:sz="0" w:space="0" w:color="auto"/>
        <w:left w:val="none" w:sz="0" w:space="0" w:color="auto"/>
        <w:bottom w:val="none" w:sz="0" w:space="0" w:color="auto"/>
        <w:right w:val="none" w:sz="0" w:space="0" w:color="auto"/>
      </w:divBdr>
    </w:div>
    <w:div w:id="1224292509">
      <w:bodyDiv w:val="1"/>
      <w:marLeft w:val="0"/>
      <w:marRight w:val="0"/>
      <w:marTop w:val="0"/>
      <w:marBottom w:val="0"/>
      <w:divBdr>
        <w:top w:val="none" w:sz="0" w:space="0" w:color="auto"/>
        <w:left w:val="none" w:sz="0" w:space="0" w:color="auto"/>
        <w:bottom w:val="none" w:sz="0" w:space="0" w:color="auto"/>
        <w:right w:val="none" w:sz="0" w:space="0" w:color="auto"/>
      </w:divBdr>
    </w:div>
    <w:div w:id="1271399851">
      <w:bodyDiv w:val="1"/>
      <w:marLeft w:val="0"/>
      <w:marRight w:val="0"/>
      <w:marTop w:val="0"/>
      <w:marBottom w:val="0"/>
      <w:divBdr>
        <w:top w:val="none" w:sz="0" w:space="0" w:color="auto"/>
        <w:left w:val="none" w:sz="0" w:space="0" w:color="auto"/>
        <w:bottom w:val="none" w:sz="0" w:space="0" w:color="auto"/>
        <w:right w:val="none" w:sz="0" w:space="0" w:color="auto"/>
      </w:divBdr>
    </w:div>
    <w:div w:id="1303661266">
      <w:bodyDiv w:val="1"/>
      <w:marLeft w:val="0"/>
      <w:marRight w:val="0"/>
      <w:marTop w:val="0"/>
      <w:marBottom w:val="0"/>
      <w:divBdr>
        <w:top w:val="none" w:sz="0" w:space="0" w:color="auto"/>
        <w:left w:val="none" w:sz="0" w:space="0" w:color="auto"/>
        <w:bottom w:val="none" w:sz="0" w:space="0" w:color="auto"/>
        <w:right w:val="none" w:sz="0" w:space="0" w:color="auto"/>
      </w:divBdr>
    </w:div>
    <w:div w:id="1429352757">
      <w:bodyDiv w:val="1"/>
      <w:marLeft w:val="0"/>
      <w:marRight w:val="0"/>
      <w:marTop w:val="0"/>
      <w:marBottom w:val="0"/>
      <w:divBdr>
        <w:top w:val="none" w:sz="0" w:space="0" w:color="auto"/>
        <w:left w:val="none" w:sz="0" w:space="0" w:color="auto"/>
        <w:bottom w:val="none" w:sz="0" w:space="0" w:color="auto"/>
        <w:right w:val="none" w:sz="0" w:space="0" w:color="auto"/>
      </w:divBdr>
    </w:div>
    <w:div w:id="1435401054">
      <w:bodyDiv w:val="1"/>
      <w:marLeft w:val="0"/>
      <w:marRight w:val="0"/>
      <w:marTop w:val="0"/>
      <w:marBottom w:val="0"/>
      <w:divBdr>
        <w:top w:val="none" w:sz="0" w:space="0" w:color="auto"/>
        <w:left w:val="none" w:sz="0" w:space="0" w:color="auto"/>
        <w:bottom w:val="none" w:sz="0" w:space="0" w:color="auto"/>
        <w:right w:val="none" w:sz="0" w:space="0" w:color="auto"/>
      </w:divBdr>
    </w:div>
    <w:div w:id="1507791059">
      <w:bodyDiv w:val="1"/>
      <w:marLeft w:val="0"/>
      <w:marRight w:val="0"/>
      <w:marTop w:val="0"/>
      <w:marBottom w:val="0"/>
      <w:divBdr>
        <w:top w:val="none" w:sz="0" w:space="0" w:color="auto"/>
        <w:left w:val="none" w:sz="0" w:space="0" w:color="auto"/>
        <w:bottom w:val="none" w:sz="0" w:space="0" w:color="auto"/>
        <w:right w:val="none" w:sz="0" w:space="0" w:color="auto"/>
      </w:divBdr>
      <w:divsChild>
        <w:div w:id="2051876806">
          <w:marLeft w:val="0"/>
          <w:marRight w:val="0"/>
          <w:marTop w:val="0"/>
          <w:marBottom w:val="0"/>
          <w:divBdr>
            <w:top w:val="none" w:sz="0" w:space="0" w:color="auto"/>
            <w:left w:val="none" w:sz="0" w:space="0" w:color="auto"/>
            <w:bottom w:val="none" w:sz="0" w:space="0" w:color="auto"/>
            <w:right w:val="none" w:sz="0" w:space="0" w:color="auto"/>
          </w:divBdr>
        </w:div>
      </w:divsChild>
    </w:div>
    <w:div w:id="1512186455">
      <w:bodyDiv w:val="1"/>
      <w:marLeft w:val="0"/>
      <w:marRight w:val="0"/>
      <w:marTop w:val="0"/>
      <w:marBottom w:val="0"/>
      <w:divBdr>
        <w:top w:val="none" w:sz="0" w:space="0" w:color="auto"/>
        <w:left w:val="none" w:sz="0" w:space="0" w:color="auto"/>
        <w:bottom w:val="none" w:sz="0" w:space="0" w:color="auto"/>
        <w:right w:val="none" w:sz="0" w:space="0" w:color="auto"/>
      </w:divBdr>
    </w:div>
    <w:div w:id="1527064744">
      <w:bodyDiv w:val="1"/>
      <w:marLeft w:val="0"/>
      <w:marRight w:val="0"/>
      <w:marTop w:val="0"/>
      <w:marBottom w:val="0"/>
      <w:divBdr>
        <w:top w:val="none" w:sz="0" w:space="0" w:color="auto"/>
        <w:left w:val="none" w:sz="0" w:space="0" w:color="auto"/>
        <w:bottom w:val="none" w:sz="0" w:space="0" w:color="auto"/>
        <w:right w:val="none" w:sz="0" w:space="0" w:color="auto"/>
      </w:divBdr>
    </w:div>
    <w:div w:id="1626614009">
      <w:bodyDiv w:val="1"/>
      <w:marLeft w:val="0"/>
      <w:marRight w:val="0"/>
      <w:marTop w:val="0"/>
      <w:marBottom w:val="0"/>
      <w:divBdr>
        <w:top w:val="none" w:sz="0" w:space="0" w:color="auto"/>
        <w:left w:val="none" w:sz="0" w:space="0" w:color="auto"/>
        <w:bottom w:val="none" w:sz="0" w:space="0" w:color="auto"/>
        <w:right w:val="none" w:sz="0" w:space="0" w:color="auto"/>
      </w:divBdr>
    </w:div>
    <w:div w:id="1712148649">
      <w:bodyDiv w:val="1"/>
      <w:marLeft w:val="0"/>
      <w:marRight w:val="0"/>
      <w:marTop w:val="0"/>
      <w:marBottom w:val="0"/>
      <w:divBdr>
        <w:top w:val="none" w:sz="0" w:space="0" w:color="auto"/>
        <w:left w:val="none" w:sz="0" w:space="0" w:color="auto"/>
        <w:bottom w:val="none" w:sz="0" w:space="0" w:color="auto"/>
        <w:right w:val="none" w:sz="0" w:space="0" w:color="auto"/>
      </w:divBdr>
    </w:div>
    <w:div w:id="1712732174">
      <w:bodyDiv w:val="1"/>
      <w:marLeft w:val="0"/>
      <w:marRight w:val="0"/>
      <w:marTop w:val="0"/>
      <w:marBottom w:val="0"/>
      <w:divBdr>
        <w:top w:val="none" w:sz="0" w:space="0" w:color="auto"/>
        <w:left w:val="none" w:sz="0" w:space="0" w:color="auto"/>
        <w:bottom w:val="none" w:sz="0" w:space="0" w:color="auto"/>
        <w:right w:val="none" w:sz="0" w:space="0" w:color="auto"/>
      </w:divBdr>
    </w:div>
    <w:div w:id="1727096954">
      <w:bodyDiv w:val="1"/>
      <w:marLeft w:val="0"/>
      <w:marRight w:val="0"/>
      <w:marTop w:val="0"/>
      <w:marBottom w:val="0"/>
      <w:divBdr>
        <w:top w:val="none" w:sz="0" w:space="0" w:color="auto"/>
        <w:left w:val="none" w:sz="0" w:space="0" w:color="auto"/>
        <w:bottom w:val="none" w:sz="0" w:space="0" w:color="auto"/>
        <w:right w:val="none" w:sz="0" w:space="0" w:color="auto"/>
      </w:divBdr>
    </w:div>
    <w:div w:id="1841578276">
      <w:bodyDiv w:val="1"/>
      <w:marLeft w:val="0"/>
      <w:marRight w:val="0"/>
      <w:marTop w:val="0"/>
      <w:marBottom w:val="0"/>
      <w:divBdr>
        <w:top w:val="none" w:sz="0" w:space="0" w:color="auto"/>
        <w:left w:val="none" w:sz="0" w:space="0" w:color="auto"/>
        <w:bottom w:val="none" w:sz="0" w:space="0" w:color="auto"/>
        <w:right w:val="none" w:sz="0" w:space="0" w:color="auto"/>
      </w:divBdr>
    </w:div>
    <w:div w:id="1898778106">
      <w:bodyDiv w:val="1"/>
      <w:marLeft w:val="0"/>
      <w:marRight w:val="0"/>
      <w:marTop w:val="0"/>
      <w:marBottom w:val="0"/>
      <w:divBdr>
        <w:top w:val="none" w:sz="0" w:space="0" w:color="auto"/>
        <w:left w:val="none" w:sz="0" w:space="0" w:color="auto"/>
        <w:bottom w:val="none" w:sz="0" w:space="0" w:color="auto"/>
        <w:right w:val="none" w:sz="0" w:space="0" w:color="auto"/>
      </w:divBdr>
    </w:div>
    <w:div w:id="1978562322">
      <w:bodyDiv w:val="1"/>
      <w:marLeft w:val="0"/>
      <w:marRight w:val="0"/>
      <w:marTop w:val="0"/>
      <w:marBottom w:val="0"/>
      <w:divBdr>
        <w:top w:val="none" w:sz="0" w:space="0" w:color="auto"/>
        <w:left w:val="none" w:sz="0" w:space="0" w:color="auto"/>
        <w:bottom w:val="none" w:sz="0" w:space="0" w:color="auto"/>
        <w:right w:val="none" w:sz="0" w:space="0" w:color="auto"/>
      </w:divBdr>
    </w:div>
    <w:div w:id="1998723048">
      <w:bodyDiv w:val="1"/>
      <w:marLeft w:val="0"/>
      <w:marRight w:val="0"/>
      <w:marTop w:val="0"/>
      <w:marBottom w:val="0"/>
      <w:divBdr>
        <w:top w:val="none" w:sz="0" w:space="0" w:color="auto"/>
        <w:left w:val="none" w:sz="0" w:space="0" w:color="auto"/>
        <w:bottom w:val="none" w:sz="0" w:space="0" w:color="auto"/>
        <w:right w:val="none" w:sz="0" w:space="0" w:color="auto"/>
      </w:divBdr>
    </w:div>
    <w:div w:id="2022776964">
      <w:bodyDiv w:val="1"/>
      <w:marLeft w:val="0"/>
      <w:marRight w:val="0"/>
      <w:marTop w:val="0"/>
      <w:marBottom w:val="0"/>
      <w:divBdr>
        <w:top w:val="none" w:sz="0" w:space="0" w:color="auto"/>
        <w:left w:val="none" w:sz="0" w:space="0" w:color="auto"/>
        <w:bottom w:val="none" w:sz="0" w:space="0" w:color="auto"/>
        <w:right w:val="none" w:sz="0" w:space="0" w:color="auto"/>
      </w:divBdr>
    </w:div>
    <w:div w:id="2045472351">
      <w:bodyDiv w:val="1"/>
      <w:marLeft w:val="0"/>
      <w:marRight w:val="0"/>
      <w:marTop w:val="0"/>
      <w:marBottom w:val="0"/>
      <w:divBdr>
        <w:top w:val="none" w:sz="0" w:space="0" w:color="auto"/>
        <w:left w:val="none" w:sz="0" w:space="0" w:color="auto"/>
        <w:bottom w:val="none" w:sz="0" w:space="0" w:color="auto"/>
        <w:right w:val="none" w:sz="0" w:space="0" w:color="auto"/>
      </w:divBdr>
    </w:div>
    <w:div w:id="2047370209">
      <w:bodyDiv w:val="1"/>
      <w:marLeft w:val="0"/>
      <w:marRight w:val="0"/>
      <w:marTop w:val="0"/>
      <w:marBottom w:val="0"/>
      <w:divBdr>
        <w:top w:val="none" w:sz="0" w:space="0" w:color="auto"/>
        <w:left w:val="none" w:sz="0" w:space="0" w:color="auto"/>
        <w:bottom w:val="none" w:sz="0" w:space="0" w:color="auto"/>
        <w:right w:val="none" w:sz="0" w:space="0" w:color="auto"/>
      </w:divBdr>
    </w:div>
    <w:div w:id="2051495400">
      <w:bodyDiv w:val="1"/>
      <w:marLeft w:val="0"/>
      <w:marRight w:val="0"/>
      <w:marTop w:val="0"/>
      <w:marBottom w:val="0"/>
      <w:divBdr>
        <w:top w:val="none" w:sz="0" w:space="0" w:color="auto"/>
        <w:left w:val="none" w:sz="0" w:space="0" w:color="auto"/>
        <w:bottom w:val="none" w:sz="0" w:space="0" w:color="auto"/>
        <w:right w:val="none" w:sz="0" w:space="0" w:color="auto"/>
      </w:divBdr>
    </w:div>
    <w:div w:id="2076513615">
      <w:bodyDiv w:val="1"/>
      <w:marLeft w:val="0"/>
      <w:marRight w:val="0"/>
      <w:marTop w:val="0"/>
      <w:marBottom w:val="0"/>
      <w:divBdr>
        <w:top w:val="none" w:sz="0" w:space="0" w:color="auto"/>
        <w:left w:val="none" w:sz="0" w:space="0" w:color="auto"/>
        <w:bottom w:val="none" w:sz="0" w:space="0" w:color="auto"/>
        <w:right w:val="none" w:sz="0" w:space="0" w:color="auto"/>
      </w:divBdr>
    </w:div>
    <w:div w:id="21368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34CC-371E-4126-9C81-647F850A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6621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Abraham Acevedo Fernandez</dc:creator>
  <cp:lastModifiedBy>Elizabeth Martínez Gonzalez</cp:lastModifiedBy>
  <cp:revision>2</cp:revision>
  <cp:lastPrinted>2017-11-16T18:24:00Z</cp:lastPrinted>
  <dcterms:created xsi:type="dcterms:W3CDTF">2017-12-29T19:34:00Z</dcterms:created>
  <dcterms:modified xsi:type="dcterms:W3CDTF">2017-12-29T19:34:00Z</dcterms:modified>
</cp:coreProperties>
</file>